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98" w:rsidRPr="004E4FBE" w:rsidRDefault="00A23B98" w:rsidP="00A23B98">
      <w:pPr>
        <w:spacing w:line="580" w:lineRule="exact"/>
        <w:jc w:val="left"/>
        <w:rPr>
          <w:rFonts w:ascii="黑体" w:eastAsia="黑体" w:hAnsi="黑体"/>
          <w:spacing w:val="-2"/>
          <w:szCs w:val="28"/>
        </w:rPr>
      </w:pPr>
    </w:p>
    <w:p w:rsidR="00A23B98" w:rsidRDefault="00D02C60" w:rsidP="00A23B98">
      <w:pPr>
        <w:spacing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2023</w:t>
      </w:r>
      <w:r w:rsidR="00A23B98">
        <w:rPr>
          <w:rFonts w:ascii="方正小标宋简体" w:eastAsia="方正小标宋简体" w:hAnsi="宋体" w:hint="eastAsia"/>
          <w:sz w:val="36"/>
          <w:szCs w:val="36"/>
        </w:rPr>
        <w:t>年度专项工程信息公开表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551"/>
        <w:gridCol w:w="2694"/>
        <w:gridCol w:w="2976"/>
        <w:gridCol w:w="1985"/>
        <w:gridCol w:w="741"/>
      </w:tblGrid>
      <w:tr w:rsidR="00A23B98" w:rsidTr="003C7A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98" w:rsidRDefault="00A23B98" w:rsidP="00DE3F6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黑体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pacing w:val="30"/>
                <w:sz w:val="28"/>
                <w:szCs w:val="28"/>
              </w:rPr>
              <w:t>专项工程名称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98" w:rsidRDefault="00A23B98" w:rsidP="00DE3F6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黑体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pacing w:val="30"/>
                <w:sz w:val="28"/>
                <w:szCs w:val="28"/>
              </w:rPr>
              <w:t>实施单位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98" w:rsidRDefault="00A23B98" w:rsidP="00DE3F6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黑体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pacing w:val="30"/>
                <w:sz w:val="28"/>
                <w:szCs w:val="28"/>
              </w:rPr>
              <w:t>完成内容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98" w:rsidRDefault="00A23B98" w:rsidP="00DE3F6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黑体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pacing w:val="30"/>
                <w:sz w:val="28"/>
                <w:szCs w:val="28"/>
              </w:rPr>
              <w:t>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98" w:rsidRDefault="00A23B98" w:rsidP="00DE3F6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cs="宋体"/>
                <w:b/>
                <w:bCs/>
                <w:spacing w:val="3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pacing w:val="30"/>
                <w:sz w:val="28"/>
                <w:szCs w:val="28"/>
              </w:rPr>
              <w:t>结算价</w:t>
            </w:r>
          </w:p>
          <w:p w:rsidR="00A23B98" w:rsidRDefault="00A23B98" w:rsidP="00DE3F6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黑体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pacing w:val="30"/>
                <w:sz w:val="28"/>
                <w:szCs w:val="28"/>
              </w:rPr>
              <w:t>（万元）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98" w:rsidRDefault="00A23B98" w:rsidP="00DE3F65">
            <w:pPr>
              <w:spacing w:line="580" w:lineRule="exact"/>
              <w:jc w:val="center"/>
              <w:rPr>
                <w:rFonts w:ascii="仿宋_GB2312" w:hAnsi="黑体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pacing w:val="30"/>
                <w:sz w:val="28"/>
                <w:szCs w:val="28"/>
              </w:rPr>
              <w:t>备注</w:t>
            </w:r>
          </w:p>
        </w:tc>
      </w:tr>
      <w:tr w:rsidR="00A23B98" w:rsidTr="003C7A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8" w:rsidRPr="006B5B00" w:rsidRDefault="006B5B00" w:rsidP="006B5B00">
            <w:r w:rsidRPr="006B5B00">
              <w:rPr>
                <w:rFonts w:hint="eastAsia"/>
              </w:rPr>
              <w:t>东莞航标与测绘所综合办公楼和龙城站房统一外观改造项目</w:t>
            </w:r>
            <w:r w:rsidR="00C36F23">
              <w:rPr>
                <w:rFonts w:hint="eastAsia"/>
              </w:rPr>
              <w:t>设计合同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8" w:rsidRPr="006B5B00" w:rsidRDefault="006B5B00" w:rsidP="00C36F23">
            <w:r w:rsidRPr="006B5B00">
              <w:rPr>
                <w:rFonts w:hint="eastAsia"/>
              </w:rPr>
              <w:t>广东</w:t>
            </w:r>
            <w:r w:rsidR="00C36F23">
              <w:rPr>
                <w:rFonts w:hint="eastAsia"/>
              </w:rPr>
              <w:t>省东莞航道事务中心东莞航标与测绘所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8" w:rsidRPr="006B5B00" w:rsidRDefault="00C36F23" w:rsidP="006B5B00">
            <w:r w:rsidRPr="006B5B00">
              <w:rPr>
                <w:rFonts w:hint="eastAsia"/>
              </w:rPr>
              <w:t>东莞航标与测绘所综合办公楼和龙城站房统一外观改造项目</w:t>
            </w:r>
            <w:r>
              <w:rPr>
                <w:rFonts w:hint="eastAsia"/>
              </w:rPr>
              <w:t>设计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8" w:rsidRPr="006B5B00" w:rsidRDefault="00C36F23" w:rsidP="006B5B00">
            <w:r>
              <w:rPr>
                <w:rFonts w:hint="eastAsia"/>
              </w:rPr>
              <w:t>合同签订之日起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8" w:rsidRPr="006B5B00" w:rsidRDefault="00C36F23" w:rsidP="006B5B00">
            <w:r>
              <w:rPr>
                <w:rFonts w:hint="eastAsia"/>
              </w:rPr>
              <w:t>14.38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8" w:rsidRPr="006B5B00" w:rsidRDefault="00A23B98" w:rsidP="006B5B00"/>
        </w:tc>
      </w:tr>
      <w:tr w:rsidR="002C4472" w:rsidTr="003C7A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2" w:rsidRPr="006B5B00" w:rsidRDefault="00FC439A" w:rsidP="006B5B00">
            <w:r w:rsidRPr="006B5B00">
              <w:rPr>
                <w:rFonts w:hint="eastAsia"/>
              </w:rPr>
              <w:t>东莞航标与测绘所综合办公楼和龙城站房统一外观改造项目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2" w:rsidRPr="006B5B00" w:rsidRDefault="00FC439A" w:rsidP="006B5B00">
            <w:r w:rsidRPr="006B5B00">
              <w:rPr>
                <w:rFonts w:hint="eastAsia"/>
              </w:rPr>
              <w:t>广东</w:t>
            </w:r>
            <w:r>
              <w:rPr>
                <w:rFonts w:hint="eastAsia"/>
              </w:rPr>
              <w:t>省东莞航道事务中心东莞航标与测绘所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2" w:rsidRPr="006B5B00" w:rsidRDefault="00FC439A" w:rsidP="006B5B00">
            <w:r w:rsidRPr="006B5B00">
              <w:rPr>
                <w:rFonts w:hint="eastAsia"/>
              </w:rPr>
              <w:t>东莞航标与测绘所综合办公楼和龙城站房统一外观改造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2" w:rsidRDefault="00FC439A" w:rsidP="00E73D97">
            <w:r>
              <w:rPr>
                <w:rFonts w:hint="eastAsia"/>
              </w:rPr>
              <w:t>合同签订之日起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个月</w:t>
            </w:r>
            <w:r w:rsidR="00197789">
              <w:rPr>
                <w:rFonts w:hint="eastAsia"/>
              </w:rPr>
              <w:t>，因新冠肺炎疫情、台风以及项目变更延期</w:t>
            </w:r>
            <w:r w:rsidR="00197789">
              <w:rPr>
                <w:rFonts w:hint="eastAsia"/>
              </w:rPr>
              <w:t>156</w:t>
            </w:r>
            <w:r w:rsidR="00197789">
              <w:rPr>
                <w:rFonts w:hint="eastAsia"/>
              </w:rPr>
              <w:t>天，共</w:t>
            </w:r>
            <w:r w:rsidR="00197789">
              <w:rPr>
                <w:rFonts w:hint="eastAsia"/>
              </w:rPr>
              <w:t>276</w:t>
            </w:r>
            <w:r w:rsidR="00197789">
              <w:rPr>
                <w:rFonts w:hint="eastAsia"/>
              </w:rPr>
              <w:t>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2" w:rsidRPr="006B5B00" w:rsidRDefault="0035051D" w:rsidP="006B5B00">
            <w:r w:rsidRPr="0035051D">
              <w:t>299</w:t>
            </w:r>
            <w:r>
              <w:rPr>
                <w:rFonts w:hint="eastAsia"/>
              </w:rPr>
              <w:t>.</w:t>
            </w:r>
            <w:r>
              <w:t>5030</w:t>
            </w:r>
            <w:r w:rsidRPr="0035051D"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2" w:rsidRPr="006B5B00" w:rsidRDefault="002C4472" w:rsidP="006B5B00"/>
        </w:tc>
      </w:tr>
      <w:tr w:rsidR="002C4472" w:rsidTr="003C7A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2" w:rsidRPr="006B5B00" w:rsidRDefault="00FC439A" w:rsidP="006B5B00">
            <w:r w:rsidRPr="006B5B00">
              <w:rPr>
                <w:rFonts w:hint="eastAsia"/>
              </w:rPr>
              <w:t>东莞航标与测绘所综合办公楼和龙城站房统一外观改造项目</w:t>
            </w:r>
            <w:r>
              <w:rPr>
                <w:rFonts w:hint="eastAsia"/>
              </w:rPr>
              <w:t>监理合同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2" w:rsidRPr="00FC439A" w:rsidRDefault="00FC439A" w:rsidP="006B5B00">
            <w:r w:rsidRPr="006B5B00">
              <w:rPr>
                <w:rFonts w:hint="eastAsia"/>
              </w:rPr>
              <w:t>广东</w:t>
            </w:r>
            <w:r>
              <w:rPr>
                <w:rFonts w:hint="eastAsia"/>
              </w:rPr>
              <w:t>省东莞航道事务中心东莞航标与测绘所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2" w:rsidRPr="006B5B00" w:rsidRDefault="00FC439A" w:rsidP="006B5B00">
            <w:r w:rsidRPr="006B5B00">
              <w:rPr>
                <w:rFonts w:hint="eastAsia"/>
              </w:rPr>
              <w:t>东莞航标与测绘所综合办公楼和龙城站房统一外观改造项目</w:t>
            </w:r>
            <w:r>
              <w:rPr>
                <w:rFonts w:hint="eastAsia"/>
              </w:rPr>
              <w:t>监理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2" w:rsidRDefault="00FC439A" w:rsidP="00E73D97">
            <w:r>
              <w:rPr>
                <w:rFonts w:hint="eastAsia"/>
              </w:rPr>
              <w:t>合同签订之日起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个月</w:t>
            </w:r>
            <w:r w:rsidR="003C7A6A">
              <w:rPr>
                <w:rFonts w:hint="eastAsia"/>
              </w:rPr>
              <w:t>，因新冠肺炎疫情、台风以及项目变更延期</w:t>
            </w:r>
            <w:r w:rsidR="003C7A6A">
              <w:rPr>
                <w:rFonts w:hint="eastAsia"/>
              </w:rPr>
              <w:t>156</w:t>
            </w:r>
            <w:r w:rsidR="003C7A6A">
              <w:rPr>
                <w:rFonts w:hint="eastAsia"/>
              </w:rPr>
              <w:t>天，共</w:t>
            </w:r>
            <w:r w:rsidR="003C7A6A">
              <w:rPr>
                <w:rFonts w:hint="eastAsia"/>
              </w:rPr>
              <w:lastRenderedPageBreak/>
              <w:t>276</w:t>
            </w:r>
            <w:r w:rsidR="003C7A6A">
              <w:rPr>
                <w:rFonts w:hint="eastAsia"/>
              </w:rPr>
              <w:t>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2" w:rsidRPr="006B5B00" w:rsidRDefault="00FC439A" w:rsidP="006B5B00">
            <w:r>
              <w:rPr>
                <w:rFonts w:hint="eastAsia"/>
              </w:rPr>
              <w:lastRenderedPageBreak/>
              <w:t>6.15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2" w:rsidRPr="006B5B00" w:rsidRDefault="002C4472" w:rsidP="006B5B00"/>
        </w:tc>
      </w:tr>
    </w:tbl>
    <w:p w:rsidR="003E10B5" w:rsidRDefault="003E10B5"/>
    <w:sectPr w:rsidR="003E10B5" w:rsidSect="00A23B9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750" w:rsidRDefault="00D53750" w:rsidP="00D02C60">
      <w:r>
        <w:separator/>
      </w:r>
    </w:p>
  </w:endnote>
  <w:endnote w:type="continuationSeparator" w:id="1">
    <w:p w:rsidR="00D53750" w:rsidRDefault="00D53750" w:rsidP="00D0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750" w:rsidRDefault="00D53750" w:rsidP="00D02C60">
      <w:r>
        <w:separator/>
      </w:r>
    </w:p>
  </w:footnote>
  <w:footnote w:type="continuationSeparator" w:id="1">
    <w:p w:rsidR="00D53750" w:rsidRDefault="00D53750" w:rsidP="00D02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B98"/>
    <w:rsid w:val="00103077"/>
    <w:rsid w:val="0012055C"/>
    <w:rsid w:val="00197789"/>
    <w:rsid w:val="001B0597"/>
    <w:rsid w:val="002C4472"/>
    <w:rsid w:val="0035051D"/>
    <w:rsid w:val="00377281"/>
    <w:rsid w:val="003A0AAF"/>
    <w:rsid w:val="003B55F9"/>
    <w:rsid w:val="003C1188"/>
    <w:rsid w:val="003C7A6A"/>
    <w:rsid w:val="003E10B5"/>
    <w:rsid w:val="004A42FE"/>
    <w:rsid w:val="004E4FBE"/>
    <w:rsid w:val="005553A8"/>
    <w:rsid w:val="005E4C66"/>
    <w:rsid w:val="005F4D68"/>
    <w:rsid w:val="006B5B00"/>
    <w:rsid w:val="00777235"/>
    <w:rsid w:val="007B19EF"/>
    <w:rsid w:val="0083156D"/>
    <w:rsid w:val="00836D47"/>
    <w:rsid w:val="00A23B98"/>
    <w:rsid w:val="00B52E2D"/>
    <w:rsid w:val="00BE042B"/>
    <w:rsid w:val="00C33859"/>
    <w:rsid w:val="00C35976"/>
    <w:rsid w:val="00C36F23"/>
    <w:rsid w:val="00CF59B7"/>
    <w:rsid w:val="00D02C60"/>
    <w:rsid w:val="00D41C4C"/>
    <w:rsid w:val="00D46640"/>
    <w:rsid w:val="00D53750"/>
    <w:rsid w:val="00D6498E"/>
    <w:rsid w:val="00E204AF"/>
    <w:rsid w:val="00E73D97"/>
    <w:rsid w:val="00EB478A"/>
    <w:rsid w:val="00F1431A"/>
    <w:rsid w:val="00F71EE3"/>
    <w:rsid w:val="00FC439A"/>
    <w:rsid w:val="00FD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98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2C6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2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2C6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刘裕</dc:creator>
  <cp:lastModifiedBy>刘裕</cp:lastModifiedBy>
  <cp:revision>71</cp:revision>
  <dcterms:created xsi:type="dcterms:W3CDTF">2023-09-18T01:59:00Z</dcterms:created>
  <dcterms:modified xsi:type="dcterms:W3CDTF">2023-09-19T01:06:00Z</dcterms:modified>
</cp:coreProperties>
</file>