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28"/>
        </w:rPr>
      </w:pPr>
      <w:bookmarkStart w:id="4" w:name="_GoBack"/>
      <w:bookmarkEnd w:id="4"/>
      <w:r>
        <w:rPr>
          <w:rFonts w:hint="eastAsia" w:ascii="黑体" w:hAnsi="黑体" w:eastAsia="黑体" w:cs="黑体"/>
          <w:sz w:val="32"/>
          <w:szCs w:val="28"/>
        </w:rPr>
        <w:t>附件1</w:t>
      </w:r>
    </w:p>
    <w:p>
      <w:pPr>
        <w:pStyle w:val="2"/>
        <w:keepNext/>
        <w:keepLines/>
        <w:pageBreakBefore w:val="0"/>
        <w:widowControl w:val="0"/>
        <w:kinsoku/>
        <w:wordWrap/>
        <w:overflowPunct/>
        <w:topLinePunct w:val="0"/>
        <w:autoSpaceDE/>
        <w:autoSpaceDN/>
        <w:bidi w:val="0"/>
        <w:adjustRightInd/>
        <w:snapToGrid/>
        <w:spacing w:before="0" w:after="0" w:line="64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西江和虎跳门水道航标增设改造项目施工监理</w:t>
      </w:r>
    </w:p>
    <w:p>
      <w:pPr>
        <w:pStyle w:val="2"/>
        <w:keepNext/>
        <w:keepLines/>
        <w:pageBreakBefore w:val="0"/>
        <w:widowControl w:val="0"/>
        <w:kinsoku/>
        <w:wordWrap/>
        <w:overflowPunct/>
        <w:topLinePunct w:val="0"/>
        <w:autoSpaceDE/>
        <w:autoSpaceDN/>
        <w:bidi w:val="0"/>
        <w:adjustRightInd/>
        <w:snapToGrid/>
        <w:spacing w:before="0" w:after="0" w:line="64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用户需求书</w:t>
      </w:r>
    </w:p>
    <w:p>
      <w:pPr>
        <w:spacing w:line="360" w:lineRule="auto"/>
        <w:ind w:firstLine="620" w:firstLineChars="294"/>
        <w:rPr>
          <w:rFonts w:hint="eastAsia" w:ascii="宋体" w:hAnsi="宋体"/>
          <w:b/>
          <w:szCs w:val="21"/>
        </w:rPr>
      </w:pPr>
      <w:bookmarkStart w:id="0" w:name="_Toc501368274"/>
      <w:bookmarkStart w:id="1" w:name="_Toc519184051"/>
      <w:bookmarkStart w:id="2" w:name="_Toc518688882"/>
      <w:bookmarkStart w:id="3" w:name="_Toc509580431"/>
      <w:r>
        <w:rPr>
          <w:rFonts w:hint="eastAsia" w:ascii="宋体" w:hAnsi="宋体"/>
          <w:b/>
          <w:szCs w:val="21"/>
        </w:rPr>
        <w:t>一、项目概况</w:t>
      </w:r>
    </w:p>
    <w:bookmarkEnd w:id="0"/>
    <w:bookmarkEnd w:id="1"/>
    <w:bookmarkEnd w:id="2"/>
    <w:bookmarkEnd w:id="3"/>
    <w:p>
      <w:pPr>
        <w:spacing w:line="360" w:lineRule="auto"/>
        <w:ind w:left="187" w:leftChars="89" w:firstLine="420" w:firstLineChars="200"/>
        <w:rPr>
          <w:rFonts w:hint="eastAsia"/>
        </w:rPr>
      </w:pPr>
      <w:r>
        <w:rPr>
          <w:rFonts w:hint="eastAsia" w:ascii="宋体" w:hAnsi="宋体" w:cs="宋体"/>
          <w:szCs w:val="21"/>
          <w:highlight w:val="none"/>
          <w:lang w:eastAsia="zh-Hans"/>
        </w:rPr>
        <w:t>为进一步改善西江</w:t>
      </w:r>
      <w:r>
        <w:rPr>
          <w:rFonts w:ascii="宋体" w:hAnsi="宋体" w:cs="宋体"/>
          <w:szCs w:val="21"/>
          <w:highlight w:val="none"/>
          <w:lang w:eastAsia="zh-Hans"/>
        </w:rPr>
        <w:t>1</w:t>
      </w:r>
      <w:r>
        <w:rPr>
          <w:rFonts w:hint="eastAsia" w:ascii="宋体" w:hAnsi="宋体" w:cs="宋体"/>
          <w:szCs w:val="21"/>
          <w:highlight w:val="none"/>
          <w:lang w:eastAsia="zh-Hans"/>
        </w:rPr>
        <w:t>新成沙水域和虎跳门水道横坑东水域的通航条件，根据工作部署，广东省江门航道事务中心拟实施西江和虎跳门水道航标增设</w:t>
      </w:r>
      <w:r>
        <w:rPr>
          <w:rFonts w:hint="eastAsia" w:ascii="宋体" w:hAnsi="宋体" w:cs="宋体"/>
          <w:szCs w:val="21"/>
          <w:highlight w:val="none"/>
        </w:rPr>
        <w:t>改造项目</w:t>
      </w:r>
      <w:r>
        <w:rPr>
          <w:rFonts w:hint="eastAsia" w:ascii="宋体" w:hAnsi="宋体" w:cs="宋体"/>
          <w:szCs w:val="21"/>
          <w:highlight w:val="none"/>
          <w:lang w:eastAsia="zh-Hans"/>
        </w:rPr>
        <w:t>。</w:t>
      </w:r>
    </w:p>
    <w:p>
      <w:pPr>
        <w:spacing w:line="360" w:lineRule="auto"/>
        <w:ind w:left="187" w:leftChars="89" w:firstLine="420" w:firstLineChars="200"/>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一</w:t>
      </w:r>
      <w:r>
        <w:rPr>
          <w:rFonts w:hint="eastAsia" w:ascii="宋体" w:hAnsi="宋体" w:cs="宋体"/>
          <w:szCs w:val="21"/>
          <w:highlight w:val="none"/>
          <w:lang w:eastAsia="zh-CN"/>
        </w:rPr>
        <w:t>）</w:t>
      </w:r>
      <w:r>
        <w:rPr>
          <w:rFonts w:hint="eastAsia" w:ascii="宋体" w:hAnsi="宋体" w:cs="宋体"/>
          <w:szCs w:val="21"/>
          <w:highlight w:val="none"/>
        </w:rPr>
        <w:t>项目内容：</w:t>
      </w:r>
      <w:r>
        <w:rPr>
          <w:rFonts w:hint="eastAsia" w:ascii="宋体" w:hAnsi="宋体"/>
          <w:szCs w:val="21"/>
          <w:highlight w:val="none"/>
          <w:lang w:eastAsia="zh-Hans"/>
        </w:rPr>
        <w:t>在西江</w:t>
      </w:r>
      <w:r>
        <w:rPr>
          <w:rFonts w:ascii="宋体" w:hAnsi="宋体"/>
          <w:szCs w:val="21"/>
          <w:highlight w:val="none"/>
          <w:lang w:eastAsia="zh-Hans"/>
        </w:rPr>
        <w:t>1</w:t>
      </w:r>
      <w:r>
        <w:rPr>
          <w:rFonts w:hint="eastAsia" w:ascii="宋体" w:hAnsi="宋体"/>
          <w:szCs w:val="21"/>
          <w:highlight w:val="none"/>
          <w:lang w:eastAsia="zh-Hans"/>
        </w:rPr>
        <w:t>新成沙河段增设</w:t>
      </w:r>
      <w:r>
        <w:rPr>
          <w:rFonts w:ascii="宋体" w:hAnsi="宋体"/>
          <w:szCs w:val="21"/>
          <w:highlight w:val="none"/>
          <w:lang w:eastAsia="zh-Hans"/>
        </w:rPr>
        <w:t>5</w:t>
      </w:r>
      <w:r>
        <w:rPr>
          <w:rFonts w:hint="eastAsia" w:ascii="宋体" w:hAnsi="宋体"/>
          <w:szCs w:val="21"/>
          <w:highlight w:val="none"/>
          <w:lang w:eastAsia="zh-Hans"/>
        </w:rPr>
        <w:t>座侧面标（</w:t>
      </w:r>
      <w:r>
        <w:rPr>
          <w:rFonts w:ascii="宋体" w:hAnsi="宋体"/>
          <w:szCs w:val="21"/>
          <w:highlight w:val="none"/>
          <w:lang w:eastAsia="zh-Hans"/>
        </w:rPr>
        <w:t>HF1.8</w:t>
      </w:r>
      <w:r>
        <w:rPr>
          <w:rFonts w:hint="eastAsia" w:ascii="宋体" w:hAnsi="宋体"/>
          <w:szCs w:val="21"/>
          <w:highlight w:val="none"/>
          <w:lang w:eastAsia="zh-Hans"/>
        </w:rPr>
        <w:t>浮鼓）、</w:t>
      </w:r>
      <w:r>
        <w:rPr>
          <w:rFonts w:ascii="宋体" w:hAnsi="宋体"/>
          <w:szCs w:val="21"/>
          <w:highlight w:val="none"/>
          <w:lang w:eastAsia="zh-Hans"/>
        </w:rPr>
        <w:t>2</w:t>
      </w:r>
      <w:r>
        <w:rPr>
          <w:rFonts w:hint="eastAsia" w:ascii="宋体" w:hAnsi="宋体"/>
          <w:szCs w:val="21"/>
          <w:highlight w:val="none"/>
          <w:lang w:eastAsia="zh-Hans"/>
        </w:rPr>
        <w:t>座分道通航标志（</w:t>
      </w:r>
      <w:r>
        <w:rPr>
          <w:rFonts w:ascii="宋体" w:hAnsi="宋体"/>
          <w:szCs w:val="21"/>
          <w:highlight w:val="none"/>
          <w:lang w:eastAsia="zh-Hans"/>
        </w:rPr>
        <w:t>H12</w:t>
      </w:r>
      <w:r>
        <w:rPr>
          <w:rFonts w:hint="eastAsia" w:ascii="宋体" w:hAnsi="宋体"/>
          <w:szCs w:val="21"/>
          <w:highlight w:val="none"/>
          <w:lang w:eastAsia="zh-Hans"/>
        </w:rPr>
        <w:t>m，牌面</w:t>
      </w:r>
      <w:r>
        <w:rPr>
          <w:rFonts w:ascii="宋体" w:hAnsi="宋体"/>
          <w:szCs w:val="21"/>
          <w:highlight w:val="none"/>
          <w:lang w:eastAsia="zh-Hans"/>
        </w:rPr>
        <w:t>9</w:t>
      </w:r>
      <w:r>
        <w:rPr>
          <w:rFonts w:hint="eastAsia" w:ascii="宋体" w:hAnsi="宋体"/>
          <w:szCs w:val="21"/>
          <w:highlight w:val="none"/>
          <w:lang w:eastAsia="zh-Hans"/>
        </w:rPr>
        <w:t>m*6m），</w:t>
      </w:r>
      <w:r>
        <w:rPr>
          <w:rFonts w:hint="eastAsia" w:ascii="宋体" w:hAnsi="宋体" w:cs="宋体"/>
          <w:szCs w:val="21"/>
          <w:highlight w:val="none"/>
        </w:rPr>
        <w:t>将13#左过河标改造为</w:t>
      </w:r>
      <w:r>
        <w:rPr>
          <w:rFonts w:hint="eastAsia" w:ascii="宋体" w:hAnsi="宋体" w:cs="宋体"/>
          <w:szCs w:val="21"/>
          <w:highlight w:val="none"/>
          <w:lang w:eastAsia="zh-Hans"/>
        </w:rPr>
        <w:t>左沿岸标、</w:t>
      </w:r>
      <w:r>
        <w:rPr>
          <w:rFonts w:ascii="宋体" w:hAnsi="宋体" w:cs="宋体"/>
          <w:szCs w:val="21"/>
          <w:highlight w:val="none"/>
          <w:lang w:eastAsia="zh-Hans"/>
        </w:rPr>
        <w:t>14#</w:t>
      </w:r>
      <w:r>
        <w:rPr>
          <w:rFonts w:hint="eastAsia" w:ascii="宋体" w:hAnsi="宋体" w:cs="宋体"/>
          <w:szCs w:val="21"/>
          <w:highlight w:val="none"/>
          <w:lang w:eastAsia="zh-Hans"/>
        </w:rPr>
        <w:t>右过河标改造为右侧面标，撤除</w:t>
      </w:r>
      <w:r>
        <w:rPr>
          <w:rFonts w:ascii="宋体" w:hAnsi="宋体" w:cs="宋体"/>
          <w:szCs w:val="21"/>
          <w:highlight w:val="none"/>
          <w:lang w:eastAsia="zh-Hans"/>
        </w:rPr>
        <w:t>16#</w:t>
      </w:r>
      <w:r>
        <w:rPr>
          <w:rFonts w:hint="eastAsia" w:ascii="宋体" w:hAnsi="宋体" w:cs="宋体"/>
          <w:szCs w:val="21"/>
          <w:highlight w:val="none"/>
          <w:lang w:eastAsia="zh-Hans"/>
        </w:rPr>
        <w:t>左侧面标。在虎跳门水道横坑东河段增设</w:t>
      </w:r>
      <w:r>
        <w:rPr>
          <w:rFonts w:ascii="宋体" w:hAnsi="宋体" w:cs="宋体"/>
          <w:szCs w:val="21"/>
          <w:highlight w:val="none"/>
          <w:lang w:eastAsia="zh-Hans"/>
        </w:rPr>
        <w:t>1</w:t>
      </w:r>
      <w:r>
        <w:rPr>
          <w:rFonts w:hint="eastAsia" w:ascii="宋体" w:hAnsi="宋体" w:cs="宋体"/>
          <w:szCs w:val="21"/>
          <w:highlight w:val="none"/>
          <w:lang w:eastAsia="zh-Hans"/>
        </w:rPr>
        <w:t>座</w:t>
      </w:r>
      <w:r>
        <w:rPr>
          <w:rFonts w:hint="eastAsia" w:ascii="宋体" w:hAnsi="宋体" w:cs="宋体"/>
          <w:szCs w:val="21"/>
          <w:highlight w:val="none"/>
          <w:lang w:val="en-US" w:eastAsia="zh-CN"/>
        </w:rPr>
        <w:t>三面</w:t>
      </w:r>
      <w:r>
        <w:rPr>
          <w:rFonts w:hint="eastAsia" w:ascii="宋体" w:hAnsi="宋体" w:cs="宋体"/>
          <w:szCs w:val="21"/>
          <w:highlight w:val="none"/>
          <w:lang w:eastAsia="zh-Hans"/>
        </w:rPr>
        <w:t>大型指路牌</w:t>
      </w:r>
      <w:r>
        <w:rPr>
          <w:rFonts w:hint="eastAsia" w:ascii="宋体" w:hAnsi="宋体" w:cs="宋体"/>
          <w:szCs w:val="21"/>
          <w:highlight w:val="none"/>
          <w:lang w:eastAsia="zh-CN"/>
        </w:rPr>
        <w:t>，</w:t>
      </w:r>
      <w:r>
        <w:rPr>
          <w:rFonts w:hint="eastAsia" w:ascii="宋体" w:hAnsi="宋体"/>
          <w:bCs/>
          <w:lang w:val="en-US" w:eastAsia="zh-CN"/>
        </w:rPr>
        <w:t>拆除2座小型指路牌</w:t>
      </w:r>
      <w:r>
        <w:rPr>
          <w:rFonts w:hint="eastAsia" w:ascii="宋体" w:hAnsi="宋体" w:cs="宋体"/>
          <w:szCs w:val="21"/>
          <w:highlight w:val="none"/>
        </w:rPr>
        <w:t>。</w:t>
      </w:r>
    </w:p>
    <w:p>
      <w:pPr>
        <w:spacing w:line="360" w:lineRule="auto"/>
        <w:ind w:left="187" w:leftChars="89" w:firstLine="420" w:firstLineChars="200"/>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二</w:t>
      </w:r>
      <w:r>
        <w:rPr>
          <w:rFonts w:hint="eastAsia" w:ascii="宋体" w:hAnsi="宋体" w:cs="宋体"/>
          <w:szCs w:val="21"/>
          <w:highlight w:val="none"/>
          <w:lang w:eastAsia="zh-CN"/>
        </w:rPr>
        <w:t>）</w:t>
      </w:r>
      <w:r>
        <w:rPr>
          <w:rFonts w:hint="eastAsia" w:ascii="宋体" w:hAnsi="宋体" w:cs="宋体"/>
          <w:szCs w:val="21"/>
          <w:highlight w:val="none"/>
        </w:rPr>
        <w:t>项目地点：</w:t>
      </w:r>
      <w:r>
        <w:rPr>
          <w:rFonts w:hint="eastAsia" w:ascii="宋体" w:hAnsi="宋体"/>
          <w:szCs w:val="21"/>
          <w:highlight w:val="none"/>
          <w:lang w:eastAsia="zh-Hans"/>
        </w:rPr>
        <w:t>西江</w:t>
      </w:r>
      <w:r>
        <w:rPr>
          <w:rFonts w:ascii="宋体" w:hAnsi="宋体"/>
          <w:szCs w:val="21"/>
          <w:highlight w:val="none"/>
          <w:lang w:eastAsia="zh-Hans"/>
        </w:rPr>
        <w:t>1</w:t>
      </w:r>
      <w:r>
        <w:rPr>
          <w:rFonts w:hint="eastAsia" w:ascii="宋体" w:hAnsi="宋体"/>
          <w:szCs w:val="21"/>
          <w:highlight w:val="none"/>
          <w:lang w:eastAsia="zh-Hans"/>
        </w:rPr>
        <w:t>新成沙水域和虎跳门水道横坑东水域</w:t>
      </w:r>
      <w:r>
        <w:rPr>
          <w:rFonts w:hint="eastAsia" w:ascii="宋体" w:hAnsi="宋体"/>
          <w:szCs w:val="21"/>
          <w:highlight w:val="none"/>
        </w:rPr>
        <w:t>。</w:t>
      </w:r>
    </w:p>
    <w:p>
      <w:pPr>
        <w:spacing w:line="360" w:lineRule="auto"/>
        <w:ind w:firstLine="630" w:firstLineChars="300"/>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三</w:t>
      </w:r>
      <w:r>
        <w:rPr>
          <w:rFonts w:hint="eastAsia" w:ascii="宋体" w:hAnsi="宋体" w:cs="宋体"/>
          <w:szCs w:val="21"/>
          <w:highlight w:val="none"/>
          <w:lang w:eastAsia="zh-CN"/>
        </w:rPr>
        <w:t>）</w:t>
      </w:r>
      <w:r>
        <w:rPr>
          <w:rFonts w:hint="eastAsia" w:ascii="宋体" w:hAnsi="宋体" w:cs="宋体"/>
          <w:szCs w:val="21"/>
          <w:highlight w:val="none"/>
        </w:rPr>
        <w:t>本项目工期为4个月内完工，以监理签发开工令之日起算。</w:t>
      </w:r>
    </w:p>
    <w:p>
      <w:pPr>
        <w:spacing w:line="360" w:lineRule="auto"/>
        <w:ind w:firstLine="413" w:firstLineChars="196"/>
        <w:rPr>
          <w:rFonts w:hint="eastAsia" w:ascii="宋体" w:hAnsi="宋体"/>
          <w:b/>
        </w:rPr>
      </w:pPr>
      <w:r>
        <w:rPr>
          <w:rFonts w:hint="eastAsia" w:ascii="宋体" w:hAnsi="宋体"/>
          <w:b/>
        </w:rPr>
        <w:t>二、监理工作范围（包括但不限于）：</w:t>
      </w:r>
    </w:p>
    <w:p>
      <w:pPr>
        <w:spacing w:line="360" w:lineRule="auto"/>
        <w:ind w:firstLine="420" w:firstLineChars="200"/>
        <w:rPr>
          <w:rFonts w:hint="eastAsia" w:ascii="宋体" w:hAnsi="宋体"/>
          <w:szCs w:val="21"/>
        </w:rPr>
      </w:pPr>
      <w:r>
        <w:rPr>
          <w:rFonts w:hint="eastAsia" w:ascii="宋体"/>
          <w:bCs/>
        </w:rPr>
        <w:t>包括项目范围内的施工内容及临时工程等的施工准备阶段、施工阶段、项目预验收阶段、竣工验收阶段全过程施工监理服务及工程结算审核、协调等相关工作。</w:t>
      </w:r>
    </w:p>
    <w:p>
      <w:pPr>
        <w:spacing w:line="360" w:lineRule="auto"/>
        <w:ind w:firstLine="413" w:firstLineChars="196"/>
        <w:rPr>
          <w:rFonts w:hint="eastAsia" w:ascii="宋体" w:hAnsi="宋体"/>
          <w:b/>
          <w:bCs/>
          <w:szCs w:val="21"/>
        </w:rPr>
      </w:pPr>
      <w:r>
        <w:rPr>
          <w:rFonts w:hint="eastAsia" w:ascii="宋体" w:hAnsi="宋体"/>
          <w:b/>
          <w:bCs/>
          <w:szCs w:val="21"/>
        </w:rPr>
        <w:t>三、监理服务期：</w:t>
      </w:r>
    </w:p>
    <w:p>
      <w:pPr>
        <w:spacing w:line="360" w:lineRule="auto"/>
        <w:ind w:firstLine="420" w:firstLineChars="200"/>
        <w:jc w:val="left"/>
        <w:rPr>
          <w:rFonts w:hint="eastAsia" w:ascii="宋体" w:hAnsi="宋体"/>
          <w:szCs w:val="21"/>
        </w:rPr>
      </w:pPr>
      <w:r>
        <w:rPr>
          <w:rFonts w:hint="eastAsia" w:ascii="宋体" w:hAnsi="宋体"/>
          <w:szCs w:val="21"/>
        </w:rPr>
        <w:t>从监理合同生效之日起至监理范围内所有工程竣工验收之日止。施工监理期约</w:t>
      </w:r>
      <w:r>
        <w:rPr>
          <w:rFonts w:hint="eastAsia" w:ascii="宋体" w:hAnsi="宋体"/>
          <w:szCs w:val="21"/>
          <w:lang w:val="en-US" w:eastAsia="zh-CN"/>
        </w:rPr>
        <w:t>6</w:t>
      </w:r>
      <w:r>
        <w:rPr>
          <w:rFonts w:hint="eastAsia" w:ascii="宋体" w:hAnsi="宋体"/>
          <w:szCs w:val="21"/>
        </w:rPr>
        <w:t>个月（以采购人发出的书面通知约定的进场时间开始起算），缺陷责任期12个月</w:t>
      </w:r>
      <w:r>
        <w:rPr>
          <w:rFonts w:hint="eastAsia" w:asciiTheme="minorEastAsia" w:hAnsiTheme="minorEastAsia" w:eastAsiaTheme="minorEastAsia" w:cstheme="minorEastAsia"/>
          <w:bCs/>
          <w:sz w:val="21"/>
          <w:szCs w:val="21"/>
          <w:highlight w:val="none"/>
          <w:lang w:val="en-US" w:eastAsia="zh-CN"/>
        </w:rPr>
        <w:t>（以项目通过采购人</w:t>
      </w:r>
      <w:r>
        <w:rPr>
          <w:rFonts w:hint="eastAsia" w:asciiTheme="minorEastAsia" w:hAnsiTheme="minorEastAsia" w:eastAsiaTheme="minorEastAsia" w:cstheme="minorEastAsia"/>
          <w:bCs/>
          <w:sz w:val="21"/>
          <w:szCs w:val="21"/>
          <w:lang w:val="en-US" w:eastAsia="zh-CN"/>
        </w:rPr>
        <w:t>验收当日起算）</w:t>
      </w:r>
      <w:r>
        <w:rPr>
          <w:rFonts w:hint="eastAsia" w:ascii="宋体" w:hAnsi="宋体"/>
          <w:szCs w:val="21"/>
        </w:rPr>
        <w:t>。</w:t>
      </w:r>
    </w:p>
    <w:p>
      <w:pPr>
        <w:spacing w:line="360" w:lineRule="auto"/>
        <w:ind w:firstLine="420" w:firstLineChars="200"/>
        <w:jc w:val="center"/>
        <w:rPr>
          <w:rFonts w:hint="eastAsia" w:ascii="宋体" w:hAnsi="宋体"/>
          <w:szCs w:val="21"/>
        </w:rPr>
      </w:pPr>
    </w:p>
    <w:p>
      <w:pPr>
        <w:spacing w:line="360" w:lineRule="auto"/>
        <w:ind w:firstLine="420" w:firstLineChars="200"/>
        <w:jc w:val="center"/>
        <w:rPr>
          <w:rFonts w:ascii="宋体" w:hAnsi="宋体"/>
          <w:szCs w:val="21"/>
        </w:rPr>
      </w:pPr>
      <w:r>
        <w:rPr>
          <w:rFonts w:hint="eastAsia" w:ascii="宋体" w:hAnsi="宋体"/>
          <w:szCs w:val="21"/>
        </w:rPr>
        <w:t>项目概况表</w:t>
      </w:r>
    </w:p>
    <w:tbl>
      <w:tblPr>
        <w:tblStyle w:val="6"/>
        <w:tblW w:w="930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94"/>
        <w:gridCol w:w="959"/>
        <w:gridCol w:w="1050"/>
        <w:gridCol w:w="3405"/>
        <w:gridCol w:w="2658"/>
        <w:gridCol w:w="6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83" w:hRule="atLeast"/>
          <w:jc w:val="center"/>
        </w:trPr>
        <w:tc>
          <w:tcPr>
            <w:tcW w:w="594" w:type="dxa"/>
            <w:vMerge w:val="restart"/>
            <w:vAlign w:val="center"/>
          </w:tcPr>
          <w:p>
            <w:pPr>
              <w:ind w:left="42" w:leftChars="20"/>
              <w:jc w:val="center"/>
              <w:rPr>
                <w:bCs/>
              </w:rPr>
            </w:pPr>
            <w:r>
              <w:rPr>
                <w:rFonts w:hint="eastAsia"/>
                <w:bCs/>
              </w:rPr>
              <w:t>序号</w:t>
            </w:r>
          </w:p>
        </w:tc>
        <w:tc>
          <w:tcPr>
            <w:tcW w:w="2009" w:type="dxa"/>
            <w:gridSpan w:val="2"/>
            <w:vAlign w:val="center"/>
          </w:tcPr>
          <w:p>
            <w:pPr>
              <w:ind w:left="42" w:leftChars="20"/>
              <w:jc w:val="center"/>
              <w:rPr>
                <w:bCs/>
              </w:rPr>
            </w:pPr>
            <w:r>
              <w:rPr>
                <w:rFonts w:hint="eastAsia"/>
                <w:bCs/>
              </w:rPr>
              <w:t>项目名称</w:t>
            </w:r>
          </w:p>
        </w:tc>
        <w:tc>
          <w:tcPr>
            <w:tcW w:w="3405" w:type="dxa"/>
            <w:vMerge w:val="restart"/>
            <w:vAlign w:val="center"/>
          </w:tcPr>
          <w:p>
            <w:pPr>
              <w:ind w:left="42" w:leftChars="20"/>
              <w:jc w:val="center"/>
              <w:rPr>
                <w:bCs/>
              </w:rPr>
            </w:pPr>
            <w:r>
              <w:rPr>
                <w:rFonts w:hint="eastAsia"/>
                <w:bCs/>
              </w:rPr>
              <w:t>包含施工内容</w:t>
            </w:r>
          </w:p>
        </w:tc>
        <w:tc>
          <w:tcPr>
            <w:tcW w:w="2658" w:type="dxa"/>
            <w:vMerge w:val="restart"/>
            <w:vAlign w:val="center"/>
          </w:tcPr>
          <w:p>
            <w:pPr>
              <w:ind w:left="42" w:leftChars="20"/>
              <w:jc w:val="center"/>
              <w:rPr>
                <w:bCs/>
              </w:rPr>
            </w:pPr>
            <w:r>
              <w:rPr>
                <w:rFonts w:hint="eastAsia"/>
                <w:bCs/>
              </w:rPr>
              <w:t>监理服务期（月）</w:t>
            </w:r>
          </w:p>
        </w:tc>
        <w:tc>
          <w:tcPr>
            <w:tcW w:w="634" w:type="dxa"/>
            <w:vMerge w:val="restart"/>
            <w:vAlign w:val="center"/>
          </w:tcPr>
          <w:p>
            <w:pPr>
              <w:ind w:left="42" w:leftChars="20"/>
              <w:jc w:val="center"/>
              <w:rPr>
                <w:bCs/>
              </w:rPr>
            </w:pPr>
            <w:r>
              <w:rPr>
                <w:rFonts w:hint="eastAsia"/>
                <w:bCs/>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88" w:hRule="atLeast"/>
          <w:jc w:val="center"/>
        </w:trPr>
        <w:tc>
          <w:tcPr>
            <w:tcW w:w="594" w:type="dxa"/>
            <w:vMerge w:val="continue"/>
            <w:vAlign w:val="center"/>
          </w:tcPr>
          <w:p>
            <w:pPr>
              <w:ind w:left="42" w:leftChars="20"/>
              <w:jc w:val="center"/>
              <w:rPr>
                <w:bCs/>
              </w:rPr>
            </w:pPr>
          </w:p>
        </w:tc>
        <w:tc>
          <w:tcPr>
            <w:tcW w:w="959" w:type="dxa"/>
            <w:vAlign w:val="center"/>
          </w:tcPr>
          <w:p>
            <w:pPr>
              <w:ind w:left="42" w:leftChars="20"/>
              <w:jc w:val="center"/>
              <w:rPr>
                <w:bCs/>
              </w:rPr>
            </w:pPr>
            <w:r>
              <w:rPr>
                <w:rFonts w:hint="eastAsia"/>
                <w:bCs/>
              </w:rPr>
              <w:t>监理项目名称</w:t>
            </w:r>
          </w:p>
        </w:tc>
        <w:tc>
          <w:tcPr>
            <w:tcW w:w="1050" w:type="dxa"/>
            <w:vAlign w:val="center"/>
          </w:tcPr>
          <w:p>
            <w:pPr>
              <w:ind w:left="42" w:leftChars="20"/>
              <w:jc w:val="center"/>
              <w:rPr>
                <w:bCs/>
              </w:rPr>
            </w:pPr>
            <w:r>
              <w:rPr>
                <w:rFonts w:hint="eastAsia"/>
                <w:bCs/>
              </w:rPr>
              <w:t>对应施工标段名称</w:t>
            </w:r>
          </w:p>
        </w:tc>
        <w:tc>
          <w:tcPr>
            <w:tcW w:w="3405" w:type="dxa"/>
            <w:vMerge w:val="continue"/>
            <w:vAlign w:val="center"/>
          </w:tcPr>
          <w:p>
            <w:pPr>
              <w:ind w:left="42" w:leftChars="20"/>
              <w:jc w:val="center"/>
              <w:rPr>
                <w:bCs/>
              </w:rPr>
            </w:pPr>
          </w:p>
        </w:tc>
        <w:tc>
          <w:tcPr>
            <w:tcW w:w="2658" w:type="dxa"/>
            <w:vMerge w:val="continue"/>
            <w:vAlign w:val="center"/>
          </w:tcPr>
          <w:p>
            <w:pPr>
              <w:ind w:left="42" w:leftChars="20"/>
              <w:jc w:val="center"/>
              <w:rPr>
                <w:bCs/>
              </w:rPr>
            </w:pPr>
          </w:p>
        </w:tc>
        <w:tc>
          <w:tcPr>
            <w:tcW w:w="634" w:type="dxa"/>
            <w:vMerge w:val="continue"/>
            <w:vAlign w:val="center"/>
          </w:tcPr>
          <w:p>
            <w:pPr>
              <w:ind w:left="42" w:leftChars="20"/>
              <w:jc w:val="center"/>
              <w:rPr>
                <w:rStyle w:val="5"/>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1362" w:hRule="atLeast"/>
          <w:jc w:val="center"/>
        </w:trPr>
        <w:tc>
          <w:tcPr>
            <w:tcW w:w="594" w:type="dxa"/>
            <w:vAlign w:val="center"/>
          </w:tcPr>
          <w:p>
            <w:pPr>
              <w:ind w:left="42" w:leftChars="20"/>
              <w:jc w:val="center"/>
              <w:rPr>
                <w:bCs/>
              </w:rPr>
            </w:pPr>
            <w:r>
              <w:rPr>
                <w:rFonts w:hint="eastAsia"/>
                <w:bCs/>
              </w:rPr>
              <w:t>1</w:t>
            </w:r>
          </w:p>
        </w:tc>
        <w:tc>
          <w:tcPr>
            <w:tcW w:w="959" w:type="dxa"/>
            <w:vAlign w:val="center"/>
          </w:tcPr>
          <w:p>
            <w:pPr>
              <w:snapToGrid w:val="0"/>
              <w:ind w:left="42" w:leftChars="20"/>
              <w:jc w:val="center"/>
              <w:rPr>
                <w:bCs/>
              </w:rPr>
            </w:pPr>
            <w:r>
              <w:rPr>
                <w:rFonts w:hint="eastAsia" w:ascii="宋体" w:hAnsi="宋体"/>
                <w:bCs/>
                <w:lang w:val="en-US" w:eastAsia="zh-CN"/>
              </w:rPr>
              <w:t>西江和虎跳门水道航标增设改造</w:t>
            </w:r>
            <w:r>
              <w:rPr>
                <w:rFonts w:hint="eastAsia" w:ascii="宋体" w:hAnsi="宋体"/>
                <w:bCs/>
              </w:rPr>
              <w:t>项目施工监</w:t>
            </w:r>
            <w:r>
              <w:rPr>
                <w:rFonts w:hint="eastAsia" w:ascii="宋体" w:hAnsi="宋体"/>
              </w:rPr>
              <w:t>理</w:t>
            </w:r>
          </w:p>
        </w:tc>
        <w:tc>
          <w:tcPr>
            <w:tcW w:w="1050" w:type="dxa"/>
            <w:vAlign w:val="center"/>
          </w:tcPr>
          <w:p>
            <w:pPr>
              <w:snapToGrid w:val="0"/>
              <w:ind w:left="42" w:leftChars="20"/>
              <w:jc w:val="center"/>
              <w:rPr>
                <w:bCs/>
              </w:rPr>
            </w:pPr>
            <w:r>
              <w:rPr>
                <w:rFonts w:hint="eastAsia" w:ascii="宋体" w:hAnsi="宋体"/>
                <w:bCs/>
                <w:lang w:val="en-US" w:eastAsia="zh-CN"/>
              </w:rPr>
              <w:t>西江和虎跳门水道航标增设改造</w:t>
            </w:r>
            <w:r>
              <w:rPr>
                <w:rFonts w:hint="eastAsia" w:ascii="宋体" w:hAnsi="宋体"/>
                <w:bCs/>
              </w:rPr>
              <w:t>项目</w:t>
            </w:r>
          </w:p>
        </w:tc>
        <w:tc>
          <w:tcPr>
            <w:tcW w:w="3405" w:type="dxa"/>
            <w:vAlign w:val="center"/>
          </w:tcPr>
          <w:p>
            <w:pPr>
              <w:ind w:left="42" w:leftChars="20"/>
              <w:jc w:val="left"/>
              <w:rPr>
                <w:bCs/>
              </w:rPr>
            </w:pPr>
            <w:r>
              <w:rPr>
                <w:rFonts w:hint="eastAsia" w:ascii="宋体" w:hAnsi="宋体" w:cs="宋体"/>
                <w:szCs w:val="21"/>
                <w:lang w:val="en-US" w:eastAsia="zh-CN"/>
              </w:rPr>
              <w:t xml:space="preserve"> </w:t>
            </w:r>
            <w:r>
              <w:rPr>
                <w:rFonts w:hint="eastAsia" w:ascii="宋体" w:hAnsi="宋体"/>
                <w:szCs w:val="21"/>
                <w:highlight w:val="none"/>
                <w:lang w:eastAsia="zh-Hans"/>
              </w:rPr>
              <w:t>在西江</w:t>
            </w:r>
            <w:r>
              <w:rPr>
                <w:rFonts w:ascii="宋体" w:hAnsi="宋体"/>
                <w:szCs w:val="21"/>
                <w:highlight w:val="none"/>
                <w:lang w:eastAsia="zh-Hans"/>
              </w:rPr>
              <w:t>1</w:t>
            </w:r>
            <w:r>
              <w:rPr>
                <w:rFonts w:hint="eastAsia" w:ascii="宋体" w:hAnsi="宋体"/>
                <w:szCs w:val="21"/>
                <w:highlight w:val="none"/>
                <w:lang w:eastAsia="zh-Hans"/>
              </w:rPr>
              <w:t>新成沙河段增设</w:t>
            </w:r>
            <w:r>
              <w:rPr>
                <w:rFonts w:ascii="宋体" w:hAnsi="宋体"/>
                <w:szCs w:val="21"/>
                <w:highlight w:val="none"/>
                <w:lang w:eastAsia="zh-Hans"/>
              </w:rPr>
              <w:t>5</w:t>
            </w:r>
            <w:r>
              <w:rPr>
                <w:rFonts w:hint="eastAsia" w:ascii="宋体" w:hAnsi="宋体"/>
                <w:szCs w:val="21"/>
                <w:highlight w:val="none"/>
                <w:lang w:eastAsia="zh-Hans"/>
              </w:rPr>
              <w:t>座侧面标（</w:t>
            </w:r>
            <w:r>
              <w:rPr>
                <w:rFonts w:ascii="宋体" w:hAnsi="宋体"/>
                <w:szCs w:val="21"/>
                <w:highlight w:val="none"/>
                <w:lang w:eastAsia="zh-Hans"/>
              </w:rPr>
              <w:t>HF1.8</w:t>
            </w:r>
            <w:r>
              <w:rPr>
                <w:rFonts w:hint="eastAsia" w:ascii="宋体" w:hAnsi="宋体"/>
                <w:szCs w:val="21"/>
                <w:highlight w:val="none"/>
                <w:lang w:eastAsia="zh-Hans"/>
              </w:rPr>
              <w:t>浮鼓）、</w:t>
            </w:r>
            <w:r>
              <w:rPr>
                <w:rFonts w:ascii="宋体" w:hAnsi="宋体"/>
                <w:szCs w:val="21"/>
                <w:highlight w:val="none"/>
                <w:lang w:eastAsia="zh-Hans"/>
              </w:rPr>
              <w:t>2</w:t>
            </w:r>
            <w:r>
              <w:rPr>
                <w:rFonts w:hint="eastAsia" w:ascii="宋体" w:hAnsi="宋体"/>
                <w:szCs w:val="21"/>
                <w:highlight w:val="none"/>
                <w:lang w:eastAsia="zh-Hans"/>
              </w:rPr>
              <w:t>座分道通航标志（</w:t>
            </w:r>
            <w:r>
              <w:rPr>
                <w:rFonts w:ascii="宋体" w:hAnsi="宋体"/>
                <w:szCs w:val="21"/>
                <w:highlight w:val="none"/>
                <w:lang w:eastAsia="zh-Hans"/>
              </w:rPr>
              <w:t>H12</w:t>
            </w:r>
            <w:r>
              <w:rPr>
                <w:rFonts w:hint="eastAsia" w:ascii="宋体" w:hAnsi="宋体"/>
                <w:szCs w:val="21"/>
                <w:highlight w:val="none"/>
                <w:lang w:eastAsia="zh-Hans"/>
              </w:rPr>
              <w:t>m，牌面</w:t>
            </w:r>
            <w:r>
              <w:rPr>
                <w:rFonts w:ascii="宋体" w:hAnsi="宋体"/>
                <w:szCs w:val="21"/>
                <w:highlight w:val="none"/>
                <w:lang w:eastAsia="zh-Hans"/>
              </w:rPr>
              <w:t>9</w:t>
            </w:r>
            <w:r>
              <w:rPr>
                <w:rFonts w:hint="eastAsia" w:ascii="宋体" w:hAnsi="宋体"/>
                <w:szCs w:val="21"/>
                <w:highlight w:val="none"/>
                <w:lang w:eastAsia="zh-Hans"/>
              </w:rPr>
              <w:t>m*6m），</w:t>
            </w:r>
            <w:r>
              <w:rPr>
                <w:rFonts w:hint="eastAsia" w:ascii="宋体" w:hAnsi="宋体" w:cs="宋体"/>
                <w:szCs w:val="21"/>
                <w:highlight w:val="none"/>
              </w:rPr>
              <w:t>将13#左过河标改造为</w:t>
            </w:r>
            <w:r>
              <w:rPr>
                <w:rFonts w:hint="eastAsia" w:ascii="宋体" w:hAnsi="宋体" w:cs="宋体"/>
                <w:szCs w:val="21"/>
                <w:highlight w:val="none"/>
                <w:lang w:eastAsia="zh-Hans"/>
              </w:rPr>
              <w:t>左沿岸标、</w:t>
            </w:r>
            <w:r>
              <w:rPr>
                <w:rFonts w:ascii="宋体" w:hAnsi="宋体" w:cs="宋体"/>
                <w:szCs w:val="21"/>
                <w:highlight w:val="none"/>
                <w:lang w:eastAsia="zh-Hans"/>
              </w:rPr>
              <w:t>14#</w:t>
            </w:r>
            <w:r>
              <w:rPr>
                <w:rFonts w:hint="eastAsia" w:ascii="宋体" w:hAnsi="宋体" w:cs="宋体"/>
                <w:szCs w:val="21"/>
                <w:highlight w:val="none"/>
                <w:lang w:eastAsia="zh-Hans"/>
              </w:rPr>
              <w:t>右过河标改造为右侧面标，撤除</w:t>
            </w:r>
            <w:r>
              <w:rPr>
                <w:rFonts w:ascii="宋体" w:hAnsi="宋体" w:cs="宋体"/>
                <w:szCs w:val="21"/>
                <w:highlight w:val="none"/>
                <w:lang w:eastAsia="zh-Hans"/>
              </w:rPr>
              <w:t>16#</w:t>
            </w:r>
            <w:r>
              <w:rPr>
                <w:rFonts w:hint="eastAsia" w:ascii="宋体" w:hAnsi="宋体" w:cs="宋体"/>
                <w:szCs w:val="21"/>
                <w:highlight w:val="none"/>
                <w:lang w:eastAsia="zh-Hans"/>
              </w:rPr>
              <w:t>左侧面标。在虎跳门水道横坑东河段增设</w:t>
            </w:r>
            <w:r>
              <w:rPr>
                <w:rFonts w:ascii="宋体" w:hAnsi="宋体" w:cs="宋体"/>
                <w:szCs w:val="21"/>
                <w:highlight w:val="none"/>
                <w:lang w:eastAsia="zh-Hans"/>
              </w:rPr>
              <w:t>1</w:t>
            </w:r>
            <w:r>
              <w:rPr>
                <w:rFonts w:hint="eastAsia" w:ascii="宋体" w:hAnsi="宋体" w:cs="宋体"/>
                <w:szCs w:val="21"/>
                <w:highlight w:val="none"/>
                <w:lang w:eastAsia="zh-Hans"/>
              </w:rPr>
              <w:t>座</w:t>
            </w:r>
            <w:r>
              <w:rPr>
                <w:rFonts w:hint="eastAsia" w:ascii="宋体" w:hAnsi="宋体" w:cs="宋体"/>
                <w:szCs w:val="21"/>
                <w:highlight w:val="none"/>
                <w:lang w:val="en-US" w:eastAsia="zh-CN"/>
              </w:rPr>
              <w:t>三面</w:t>
            </w:r>
            <w:r>
              <w:rPr>
                <w:rFonts w:hint="eastAsia" w:ascii="宋体" w:hAnsi="宋体" w:cs="宋体"/>
                <w:szCs w:val="21"/>
                <w:highlight w:val="none"/>
                <w:lang w:eastAsia="zh-Hans"/>
              </w:rPr>
              <w:t>大型指路牌</w:t>
            </w:r>
            <w:r>
              <w:rPr>
                <w:rFonts w:hint="eastAsia" w:ascii="宋体" w:hAnsi="宋体" w:cs="宋体"/>
                <w:szCs w:val="21"/>
                <w:highlight w:val="none"/>
                <w:lang w:eastAsia="zh-CN"/>
              </w:rPr>
              <w:t>，</w:t>
            </w:r>
            <w:r>
              <w:rPr>
                <w:rFonts w:hint="eastAsia" w:ascii="宋体" w:hAnsi="宋体"/>
                <w:bCs/>
                <w:lang w:val="en-US" w:eastAsia="zh-CN"/>
              </w:rPr>
              <w:t>拆除2座小型指路牌</w:t>
            </w:r>
            <w:r>
              <w:rPr>
                <w:rFonts w:hint="eastAsia" w:ascii="宋体" w:hAnsi="宋体" w:cs="宋体"/>
                <w:szCs w:val="21"/>
                <w:highlight w:val="none"/>
              </w:rPr>
              <w:t>。</w:t>
            </w:r>
          </w:p>
        </w:tc>
        <w:tc>
          <w:tcPr>
            <w:tcW w:w="2658" w:type="dxa"/>
            <w:vAlign w:val="center"/>
          </w:tcPr>
          <w:p>
            <w:pPr>
              <w:ind w:left="42" w:leftChars="20"/>
              <w:jc w:val="left"/>
              <w:rPr>
                <w:bCs/>
              </w:rPr>
            </w:pPr>
            <w:r>
              <w:rPr>
                <w:rFonts w:hint="eastAsia" w:ascii="宋体" w:hAnsi="宋体"/>
                <w:szCs w:val="21"/>
              </w:rPr>
              <w:t>从监理合同生效之日起至监理范围内所有工程竣工验收之日止。施工监理期约</w:t>
            </w:r>
            <w:r>
              <w:rPr>
                <w:rFonts w:hint="eastAsia" w:ascii="宋体" w:hAnsi="宋体"/>
                <w:szCs w:val="21"/>
                <w:lang w:val="en-US" w:eastAsia="zh-CN"/>
              </w:rPr>
              <w:t>6</w:t>
            </w:r>
            <w:r>
              <w:rPr>
                <w:rFonts w:hint="eastAsia" w:ascii="宋体" w:hAnsi="宋体"/>
                <w:szCs w:val="21"/>
              </w:rPr>
              <w:t>个月（以采购人发出的书面通知约定的进场时间开始起算），缺陷责任期12个月</w:t>
            </w:r>
            <w:r>
              <w:rPr>
                <w:rFonts w:hint="eastAsia" w:asciiTheme="minorEastAsia" w:hAnsiTheme="minorEastAsia" w:eastAsiaTheme="minorEastAsia" w:cstheme="minorEastAsia"/>
                <w:bCs/>
                <w:sz w:val="21"/>
                <w:szCs w:val="21"/>
                <w:highlight w:val="none"/>
                <w:lang w:val="en-US" w:eastAsia="zh-CN"/>
              </w:rPr>
              <w:t>（以项目通过采购人</w:t>
            </w:r>
            <w:r>
              <w:rPr>
                <w:rFonts w:hint="eastAsia" w:asciiTheme="minorEastAsia" w:hAnsiTheme="minorEastAsia" w:eastAsiaTheme="minorEastAsia" w:cstheme="minorEastAsia"/>
                <w:bCs/>
                <w:sz w:val="21"/>
                <w:szCs w:val="21"/>
                <w:lang w:val="en-US" w:eastAsia="zh-CN"/>
              </w:rPr>
              <w:t>验收当日起算）。</w:t>
            </w:r>
          </w:p>
        </w:tc>
        <w:tc>
          <w:tcPr>
            <w:tcW w:w="634" w:type="dxa"/>
            <w:vAlign w:val="center"/>
          </w:tcPr>
          <w:p>
            <w:pPr>
              <w:ind w:left="42" w:leftChars="20"/>
              <w:jc w:val="center"/>
              <w:rPr>
                <w:rStyle w:val="5"/>
                <w:rFonts w:ascii="宋体" w:hAnsi="宋体"/>
                <w:szCs w:val="21"/>
              </w:rPr>
            </w:pPr>
          </w:p>
        </w:tc>
      </w:tr>
    </w:tbl>
    <w:p>
      <w:pPr>
        <w:tabs>
          <w:tab w:val="left" w:pos="1080"/>
        </w:tabs>
        <w:adjustRightInd w:val="0"/>
        <w:snapToGrid w:val="0"/>
        <w:spacing w:line="360" w:lineRule="auto"/>
        <w:rPr>
          <w:rFonts w:ascii="宋体" w:hAnsi="宋体"/>
          <w:szCs w:val="21"/>
        </w:rPr>
      </w:pPr>
    </w:p>
    <w:p>
      <w:pPr>
        <w:adjustRightInd w:val="0"/>
        <w:snapToGrid w:val="0"/>
        <w:spacing w:line="360" w:lineRule="auto"/>
        <w:ind w:firstLine="420" w:firstLineChars="200"/>
        <w:rPr>
          <w:szCs w:val="21"/>
        </w:rPr>
      </w:pPr>
      <w:r>
        <w:rPr>
          <w:rFonts w:hint="eastAsia" w:ascii="宋体"/>
          <w:bCs/>
        </w:rPr>
        <w:t>注：1、</w:t>
      </w:r>
      <w:r>
        <w:rPr>
          <w:szCs w:val="21"/>
        </w:rPr>
        <w:t>监理服务期:从监理合同生效之日起至监理范围内所有工程竣工验收</w:t>
      </w:r>
      <w:r>
        <w:rPr>
          <w:rFonts w:hint="eastAsia"/>
          <w:szCs w:val="21"/>
        </w:rPr>
        <w:t>（含缺陷责任期）</w:t>
      </w:r>
      <w:r>
        <w:rPr>
          <w:szCs w:val="21"/>
        </w:rPr>
        <w:t>之日止</w:t>
      </w:r>
      <w:r>
        <w:rPr>
          <w:rFonts w:hint="eastAsia"/>
          <w:szCs w:val="21"/>
          <w:lang w:eastAsia="zh-CN"/>
        </w:rPr>
        <w:t>（</w:t>
      </w:r>
      <w:r>
        <w:rPr>
          <w:rFonts w:hint="eastAsia"/>
          <w:szCs w:val="21"/>
          <w:lang w:val="en-US" w:eastAsia="zh-CN"/>
        </w:rPr>
        <w:t>具体见上表</w:t>
      </w:r>
      <w:r>
        <w:rPr>
          <w:rFonts w:hint="eastAsia"/>
          <w:szCs w:val="21"/>
          <w:lang w:eastAsia="zh-CN"/>
        </w:rPr>
        <w:t>）</w:t>
      </w:r>
      <w:r>
        <w:rPr>
          <w:szCs w:val="21"/>
        </w:rPr>
        <w:t>。如项目实施超出服务期，采购人无需支付任何费用给</w:t>
      </w:r>
      <w:r>
        <w:rPr>
          <w:rFonts w:hint="eastAsia"/>
          <w:szCs w:val="21"/>
        </w:rPr>
        <w:t>成交供应商</w:t>
      </w:r>
      <w:r>
        <w:rPr>
          <w:szCs w:val="21"/>
        </w:rPr>
        <w:t>。</w:t>
      </w:r>
    </w:p>
    <w:p>
      <w:pPr>
        <w:spacing w:line="360" w:lineRule="auto"/>
        <w:ind w:firstLine="420" w:firstLineChars="200"/>
        <w:rPr>
          <w:rFonts w:hint="eastAsia" w:ascii="宋体"/>
          <w:bCs/>
        </w:rPr>
      </w:pPr>
      <w:r>
        <w:rPr>
          <w:rFonts w:hint="eastAsia" w:ascii="宋体"/>
          <w:bCs/>
        </w:rPr>
        <w:t>2、监理范围包括</w:t>
      </w:r>
      <w:r>
        <w:rPr>
          <w:rFonts w:hint="eastAsia" w:ascii="宋体"/>
          <w:bCs/>
          <w:lang w:val="en-US" w:eastAsia="zh-CN"/>
        </w:rPr>
        <w:t>采购</w:t>
      </w:r>
      <w:r>
        <w:rPr>
          <w:rFonts w:hint="eastAsia" w:ascii="宋体"/>
          <w:bCs/>
        </w:rPr>
        <w:t>项目范围内的施工内容及临时工程等的施工准备阶段、施工阶段、项目预验收阶段、竣工验收阶段全过程施工监理服务及工程结算审核、协调等相关工作。</w:t>
      </w:r>
    </w:p>
    <w:p>
      <w:pPr>
        <w:spacing w:line="360" w:lineRule="auto"/>
        <w:ind w:firstLine="413" w:firstLineChars="196"/>
        <w:rPr>
          <w:rFonts w:hAnsi="宋体"/>
          <w:b/>
        </w:rPr>
      </w:pPr>
      <w:r>
        <w:rPr>
          <w:rFonts w:hint="eastAsia" w:ascii="宋体"/>
          <w:b/>
        </w:rPr>
        <w:t>四、</w:t>
      </w:r>
      <w:r>
        <w:rPr>
          <w:rFonts w:hint="eastAsia" w:hAnsi="宋体"/>
          <w:b/>
        </w:rPr>
        <w:t>服务要求、服务内容及义务</w:t>
      </w:r>
    </w:p>
    <w:p>
      <w:pPr>
        <w:spacing w:line="360" w:lineRule="auto"/>
        <w:ind w:firstLine="420" w:firstLineChars="200"/>
        <w:rPr>
          <w:rFonts w:hint="eastAsia" w:hAnsi="宋体"/>
          <w:bCs/>
        </w:rPr>
      </w:pPr>
      <w:r>
        <w:rPr>
          <w:rFonts w:hint="eastAsia" w:hAnsi="宋体"/>
          <w:bCs/>
        </w:rPr>
        <w:t>1、服务要求：确保质量、确保安全、确保进度。</w:t>
      </w:r>
    </w:p>
    <w:p>
      <w:pPr>
        <w:spacing w:line="360" w:lineRule="auto"/>
        <w:ind w:firstLine="420" w:firstLineChars="200"/>
        <w:rPr>
          <w:rFonts w:hint="eastAsia" w:hAnsi="宋体"/>
          <w:bCs/>
        </w:rPr>
      </w:pPr>
      <w:r>
        <w:rPr>
          <w:rFonts w:hint="eastAsia" w:hAnsi="宋体"/>
          <w:bCs/>
        </w:rPr>
        <w:t>2、服务内容：</w:t>
      </w:r>
    </w:p>
    <w:p>
      <w:pPr>
        <w:tabs>
          <w:tab w:val="left" w:pos="1080"/>
        </w:tabs>
        <w:adjustRightInd w:val="0"/>
        <w:snapToGrid w:val="0"/>
        <w:spacing w:line="360" w:lineRule="auto"/>
        <w:ind w:firstLine="420" w:firstLineChars="200"/>
        <w:rPr>
          <w:szCs w:val="21"/>
        </w:rPr>
      </w:pPr>
      <w:r>
        <w:rPr>
          <w:szCs w:val="21"/>
        </w:rPr>
        <w:t>包括但不限于：</w:t>
      </w:r>
    </w:p>
    <w:p>
      <w:pPr>
        <w:tabs>
          <w:tab w:val="left" w:pos="1080"/>
        </w:tabs>
        <w:adjustRightInd w:val="0"/>
        <w:snapToGrid w:val="0"/>
        <w:spacing w:line="360" w:lineRule="auto"/>
        <w:ind w:firstLine="420" w:firstLineChars="200"/>
        <w:rPr>
          <w:szCs w:val="21"/>
        </w:rPr>
      </w:pPr>
      <w:r>
        <w:rPr>
          <w:szCs w:val="21"/>
        </w:rPr>
        <w:t>（1）编制监理计划；</w:t>
      </w:r>
    </w:p>
    <w:p>
      <w:pPr>
        <w:tabs>
          <w:tab w:val="left" w:pos="1080"/>
        </w:tabs>
        <w:adjustRightInd w:val="0"/>
        <w:snapToGrid w:val="0"/>
        <w:spacing w:line="360" w:lineRule="auto"/>
        <w:ind w:firstLine="420" w:firstLineChars="200"/>
        <w:rPr>
          <w:szCs w:val="21"/>
        </w:rPr>
      </w:pPr>
      <w:r>
        <w:rPr>
          <w:szCs w:val="21"/>
        </w:rPr>
        <w:t>（2）熟悉合同文件，了解施工现场，纠正设计图纸中明显错误；</w:t>
      </w:r>
    </w:p>
    <w:p>
      <w:pPr>
        <w:tabs>
          <w:tab w:val="left" w:pos="1080"/>
        </w:tabs>
        <w:adjustRightInd w:val="0"/>
        <w:snapToGrid w:val="0"/>
        <w:spacing w:line="360" w:lineRule="auto"/>
        <w:ind w:firstLine="420" w:firstLineChars="200"/>
        <w:rPr>
          <w:szCs w:val="21"/>
        </w:rPr>
      </w:pPr>
      <w:r>
        <w:rPr>
          <w:szCs w:val="21"/>
        </w:rPr>
        <w:t>（3）参加设计</w:t>
      </w:r>
      <w:r>
        <w:rPr>
          <w:rFonts w:hint="eastAsia"/>
          <w:szCs w:val="21"/>
          <w:lang w:eastAsia="zh-CN"/>
        </w:rPr>
        <w:t>、</w:t>
      </w:r>
      <w:r>
        <w:rPr>
          <w:rFonts w:hint="eastAsia"/>
          <w:szCs w:val="21"/>
          <w:lang w:val="en-US" w:eastAsia="zh-CN"/>
        </w:rPr>
        <w:t>安全和廉政</w:t>
      </w:r>
      <w:r>
        <w:rPr>
          <w:szCs w:val="21"/>
        </w:rPr>
        <w:t>交底工作，审查承包人提交的施工组织（方案）设计；</w:t>
      </w:r>
    </w:p>
    <w:p>
      <w:pPr>
        <w:tabs>
          <w:tab w:val="left" w:pos="1080"/>
        </w:tabs>
        <w:adjustRightInd w:val="0"/>
        <w:snapToGrid w:val="0"/>
        <w:spacing w:line="360" w:lineRule="auto"/>
        <w:ind w:firstLine="420" w:firstLineChars="200"/>
        <w:rPr>
          <w:szCs w:val="21"/>
        </w:rPr>
      </w:pPr>
      <w:r>
        <w:rPr>
          <w:szCs w:val="21"/>
        </w:rPr>
        <w:t>（4）督促和检查承包人建立质量保证体系；</w:t>
      </w:r>
    </w:p>
    <w:p>
      <w:pPr>
        <w:tabs>
          <w:tab w:val="left" w:pos="1080"/>
        </w:tabs>
        <w:adjustRightInd w:val="0"/>
        <w:snapToGrid w:val="0"/>
        <w:spacing w:line="360" w:lineRule="auto"/>
        <w:ind w:firstLine="420" w:firstLineChars="200"/>
        <w:rPr>
          <w:szCs w:val="21"/>
        </w:rPr>
      </w:pPr>
      <w:r>
        <w:rPr>
          <w:szCs w:val="21"/>
        </w:rPr>
        <w:t>（5）主持召开第一次工地会议</w:t>
      </w:r>
      <w:r>
        <w:rPr>
          <w:rFonts w:hint="eastAsia"/>
          <w:szCs w:val="21"/>
          <w:lang w:val="en-US" w:eastAsia="zh-CN"/>
        </w:rPr>
        <w:t>和</w:t>
      </w:r>
      <w:r>
        <w:rPr>
          <w:szCs w:val="21"/>
        </w:rPr>
        <w:t>常规</w:t>
      </w:r>
      <w:r>
        <w:rPr>
          <w:rFonts w:hint="eastAsia"/>
          <w:szCs w:val="21"/>
          <w:lang w:eastAsia="zh-CN"/>
        </w:rPr>
        <w:t>、</w:t>
      </w:r>
      <w:r>
        <w:rPr>
          <w:rFonts w:hint="eastAsia"/>
          <w:szCs w:val="21"/>
          <w:lang w:val="en-US" w:eastAsia="zh-CN"/>
        </w:rPr>
        <w:t>专题</w:t>
      </w:r>
      <w:r>
        <w:rPr>
          <w:szCs w:val="21"/>
        </w:rPr>
        <w:t>工地会议；</w:t>
      </w:r>
    </w:p>
    <w:p>
      <w:pPr>
        <w:tabs>
          <w:tab w:val="left" w:pos="1080"/>
        </w:tabs>
        <w:adjustRightInd w:val="0"/>
        <w:snapToGrid w:val="0"/>
        <w:spacing w:line="360" w:lineRule="auto"/>
        <w:ind w:firstLine="420" w:firstLineChars="200"/>
        <w:rPr>
          <w:szCs w:val="21"/>
        </w:rPr>
      </w:pPr>
      <w:r>
        <w:rPr>
          <w:szCs w:val="21"/>
        </w:rPr>
        <w:t>（6）发布开工令，批准分部工程开工报告；</w:t>
      </w:r>
    </w:p>
    <w:p>
      <w:pPr>
        <w:tabs>
          <w:tab w:val="left" w:pos="1080"/>
        </w:tabs>
        <w:adjustRightInd w:val="0"/>
        <w:snapToGrid w:val="0"/>
        <w:spacing w:line="360" w:lineRule="auto"/>
        <w:ind w:firstLine="420" w:firstLineChars="200"/>
        <w:rPr>
          <w:szCs w:val="21"/>
        </w:rPr>
      </w:pPr>
      <w:r>
        <w:rPr>
          <w:szCs w:val="21"/>
        </w:rPr>
        <w:t>（7）审查承包人派驻到现场的常驻现场代表和主要技术管理人员的资质并报</w:t>
      </w:r>
      <w:r>
        <w:rPr>
          <w:rFonts w:hint="eastAsia"/>
          <w:szCs w:val="21"/>
        </w:rPr>
        <w:t>采购人</w:t>
      </w:r>
      <w:r>
        <w:rPr>
          <w:szCs w:val="21"/>
        </w:rPr>
        <w:t>；</w:t>
      </w:r>
    </w:p>
    <w:p>
      <w:pPr>
        <w:tabs>
          <w:tab w:val="left" w:pos="1080"/>
        </w:tabs>
        <w:adjustRightInd w:val="0"/>
        <w:snapToGrid w:val="0"/>
        <w:spacing w:line="360" w:lineRule="auto"/>
        <w:ind w:firstLine="420" w:firstLineChars="200"/>
        <w:rPr>
          <w:szCs w:val="21"/>
        </w:rPr>
      </w:pPr>
      <w:r>
        <w:rPr>
          <w:szCs w:val="21"/>
        </w:rPr>
        <w:t>（8）审批承包人拟用于本工程的原始材料、成套设备品质以及工艺试验和标准试验，必要时上报</w:t>
      </w:r>
      <w:r>
        <w:rPr>
          <w:rFonts w:hint="eastAsia"/>
          <w:szCs w:val="21"/>
        </w:rPr>
        <w:t>采购人</w:t>
      </w:r>
      <w:r>
        <w:rPr>
          <w:szCs w:val="21"/>
        </w:rPr>
        <w:t>；</w:t>
      </w:r>
    </w:p>
    <w:p>
      <w:pPr>
        <w:tabs>
          <w:tab w:val="left" w:pos="1080"/>
        </w:tabs>
        <w:adjustRightInd w:val="0"/>
        <w:snapToGrid w:val="0"/>
        <w:spacing w:line="360" w:lineRule="auto"/>
        <w:ind w:firstLine="420" w:firstLineChars="200"/>
        <w:rPr>
          <w:szCs w:val="21"/>
        </w:rPr>
      </w:pPr>
      <w:r>
        <w:rPr>
          <w:szCs w:val="21"/>
        </w:rPr>
        <w:t>（9）审查承包人拟用于本工程的机械装备的性能与数量；</w:t>
      </w:r>
    </w:p>
    <w:p>
      <w:pPr>
        <w:tabs>
          <w:tab w:val="left" w:pos="1080"/>
        </w:tabs>
        <w:adjustRightInd w:val="0"/>
        <w:snapToGrid w:val="0"/>
        <w:spacing w:line="360" w:lineRule="auto"/>
        <w:ind w:firstLine="420" w:firstLineChars="200"/>
        <w:rPr>
          <w:szCs w:val="21"/>
        </w:rPr>
      </w:pPr>
      <w:r>
        <w:rPr>
          <w:szCs w:val="21"/>
        </w:rPr>
        <w:t>（10）审核承包人实施工程施工方案及主要方法或工艺；</w:t>
      </w:r>
    </w:p>
    <w:p>
      <w:pPr>
        <w:tabs>
          <w:tab w:val="left" w:pos="1080"/>
        </w:tabs>
        <w:adjustRightInd w:val="0"/>
        <w:snapToGrid w:val="0"/>
        <w:spacing w:line="360" w:lineRule="auto"/>
        <w:ind w:firstLine="420" w:firstLineChars="200"/>
        <w:rPr>
          <w:szCs w:val="21"/>
        </w:rPr>
      </w:pPr>
      <w:r>
        <w:rPr>
          <w:szCs w:val="21"/>
        </w:rPr>
        <w:t>（11）审查承包人提交的总体进度计划（批复前报</w:t>
      </w:r>
      <w:r>
        <w:rPr>
          <w:rFonts w:hint="eastAsia"/>
          <w:szCs w:val="21"/>
        </w:rPr>
        <w:t>采购人</w:t>
      </w:r>
      <w:r>
        <w:rPr>
          <w:szCs w:val="21"/>
        </w:rPr>
        <w:t>认可），检查和督促承包人实施进度计划、核批承包人的修正计划；</w:t>
      </w:r>
    </w:p>
    <w:p>
      <w:pPr>
        <w:tabs>
          <w:tab w:val="left" w:pos="1080"/>
        </w:tabs>
        <w:adjustRightInd w:val="0"/>
        <w:snapToGrid w:val="0"/>
        <w:spacing w:line="360" w:lineRule="auto"/>
        <w:ind w:firstLine="420" w:firstLineChars="200"/>
        <w:rPr>
          <w:szCs w:val="21"/>
        </w:rPr>
      </w:pPr>
      <w:r>
        <w:rPr>
          <w:szCs w:val="21"/>
        </w:rPr>
        <w:t>（12）要求承包人按照合同条款、技术规范和监理程序进行施工，通过旁站、巡视、检测、试验和整体验收等手段全面监督、检查和控制工程质量；</w:t>
      </w:r>
      <w:r>
        <w:rPr>
          <w:rFonts w:hint="eastAsia"/>
          <w:szCs w:val="21"/>
        </w:rPr>
        <w:t>负责</w:t>
      </w:r>
      <w:r>
        <w:rPr>
          <w:rFonts w:hint="eastAsia" w:ascii="宋体" w:hAnsi="宋体"/>
          <w:szCs w:val="21"/>
        </w:rPr>
        <w:t>施工现场日常巡查、拍照；</w:t>
      </w:r>
      <w:r>
        <w:rPr>
          <w:szCs w:val="21"/>
        </w:rPr>
        <w:t>监督、检查施工单位的施工安全，应审查施工承包人递交的安全技术措施或者专项施工方案的安全性和可行性，有存在安全隐患的，应以书面的形式要求施工承包人进行整改或暂停施工，直至安全隐患消除以达到合同规定的安全要求。</w:t>
      </w:r>
      <w:r>
        <w:rPr>
          <w:rFonts w:hint="eastAsia"/>
          <w:szCs w:val="21"/>
          <w:highlight w:val="none"/>
        </w:rPr>
        <w:t>对施工承包人</w:t>
      </w:r>
      <w:r>
        <w:rPr>
          <w:rFonts w:hint="eastAsia"/>
          <w:szCs w:val="21"/>
          <w:highlight w:val="none"/>
          <w:lang w:val="en-US" w:eastAsia="zh-CN"/>
        </w:rPr>
        <w:t>桩基施工、大型构件吊装作业</w:t>
      </w:r>
      <w:r>
        <w:rPr>
          <w:rFonts w:hint="eastAsia"/>
          <w:szCs w:val="21"/>
          <w:highlight w:val="none"/>
        </w:rPr>
        <w:t>进行全过程跟踪。</w:t>
      </w:r>
      <w:r>
        <w:rPr>
          <w:szCs w:val="21"/>
          <w:highlight w:val="none"/>
        </w:rPr>
        <w:t>监督、检查施工单位的环保工作及文</w:t>
      </w:r>
      <w:r>
        <w:rPr>
          <w:szCs w:val="21"/>
        </w:rPr>
        <w:t>明施工工作</w:t>
      </w:r>
      <w:r>
        <w:rPr>
          <w:rFonts w:hint="eastAsia"/>
          <w:szCs w:val="21"/>
        </w:rPr>
        <w:t>。</w:t>
      </w:r>
    </w:p>
    <w:p>
      <w:pPr>
        <w:tabs>
          <w:tab w:val="left" w:pos="1080"/>
        </w:tabs>
        <w:adjustRightInd w:val="0"/>
        <w:snapToGrid w:val="0"/>
        <w:spacing w:line="360" w:lineRule="auto"/>
        <w:ind w:firstLine="420" w:firstLineChars="200"/>
        <w:rPr>
          <w:szCs w:val="21"/>
        </w:rPr>
      </w:pPr>
      <w:r>
        <w:rPr>
          <w:szCs w:val="21"/>
        </w:rPr>
        <w:t>（13）签发中间交工证书；</w:t>
      </w:r>
    </w:p>
    <w:p>
      <w:pPr>
        <w:tabs>
          <w:tab w:val="left" w:pos="1080"/>
        </w:tabs>
        <w:adjustRightInd w:val="0"/>
        <w:snapToGrid w:val="0"/>
        <w:spacing w:line="360" w:lineRule="auto"/>
        <w:ind w:firstLine="420" w:firstLineChars="200"/>
        <w:rPr>
          <w:szCs w:val="21"/>
        </w:rPr>
      </w:pPr>
      <w:r>
        <w:rPr>
          <w:szCs w:val="21"/>
        </w:rPr>
        <w:t>（14）调查、处理工程质量缺陷和事故，确认设计、承包人提出的改进（补救）措施和方法，并监督实施。出现质量、安全事故时，应及时上报</w:t>
      </w:r>
      <w:r>
        <w:rPr>
          <w:rFonts w:hint="eastAsia"/>
          <w:szCs w:val="21"/>
        </w:rPr>
        <w:t>采购人</w:t>
      </w:r>
      <w:r>
        <w:rPr>
          <w:szCs w:val="21"/>
        </w:rPr>
        <w:t>，并督促承包人按规定上报有关部门；</w:t>
      </w:r>
    </w:p>
    <w:p>
      <w:pPr>
        <w:tabs>
          <w:tab w:val="left" w:pos="1080"/>
        </w:tabs>
        <w:adjustRightInd w:val="0"/>
        <w:snapToGrid w:val="0"/>
        <w:spacing w:line="360" w:lineRule="auto"/>
        <w:ind w:firstLine="420" w:firstLineChars="200"/>
        <w:rPr>
          <w:szCs w:val="21"/>
        </w:rPr>
      </w:pPr>
      <w:r>
        <w:rPr>
          <w:szCs w:val="21"/>
        </w:rPr>
        <w:t>（15）发布停（复）工令；</w:t>
      </w:r>
    </w:p>
    <w:p>
      <w:pPr>
        <w:tabs>
          <w:tab w:val="left" w:pos="1080"/>
        </w:tabs>
        <w:adjustRightInd w:val="0"/>
        <w:snapToGrid w:val="0"/>
        <w:spacing w:line="360" w:lineRule="auto"/>
        <w:ind w:firstLine="420" w:firstLineChars="200"/>
        <w:rPr>
          <w:szCs w:val="21"/>
        </w:rPr>
      </w:pPr>
      <w:r>
        <w:rPr>
          <w:szCs w:val="21"/>
        </w:rPr>
        <w:t>（16）对已完成工程进行准确的计量；</w:t>
      </w:r>
    </w:p>
    <w:p>
      <w:pPr>
        <w:tabs>
          <w:tab w:val="left" w:pos="1080"/>
        </w:tabs>
        <w:adjustRightInd w:val="0"/>
        <w:snapToGrid w:val="0"/>
        <w:spacing w:line="360" w:lineRule="auto"/>
        <w:ind w:firstLine="420" w:firstLineChars="200"/>
        <w:rPr>
          <w:szCs w:val="21"/>
        </w:rPr>
      </w:pPr>
      <w:r>
        <w:rPr>
          <w:szCs w:val="21"/>
        </w:rPr>
        <w:t>（17）审查承包人提交的支付证书；</w:t>
      </w:r>
    </w:p>
    <w:p>
      <w:pPr>
        <w:tabs>
          <w:tab w:val="left" w:pos="1080"/>
        </w:tabs>
        <w:adjustRightInd w:val="0"/>
        <w:snapToGrid w:val="0"/>
        <w:spacing w:line="360" w:lineRule="auto"/>
        <w:ind w:firstLine="420" w:firstLineChars="200"/>
        <w:rPr>
          <w:szCs w:val="21"/>
        </w:rPr>
      </w:pPr>
      <w:r>
        <w:rPr>
          <w:szCs w:val="21"/>
        </w:rPr>
        <w:t>（18）发布变更令（重大、重要变更报</w:t>
      </w:r>
      <w:r>
        <w:rPr>
          <w:rFonts w:hint="eastAsia"/>
          <w:szCs w:val="21"/>
        </w:rPr>
        <w:t>采购人</w:t>
      </w:r>
      <w:r>
        <w:rPr>
          <w:szCs w:val="21"/>
        </w:rPr>
        <w:t>核准）；</w:t>
      </w:r>
    </w:p>
    <w:p>
      <w:pPr>
        <w:tabs>
          <w:tab w:val="left" w:pos="1080"/>
        </w:tabs>
        <w:adjustRightInd w:val="0"/>
        <w:snapToGrid w:val="0"/>
        <w:spacing w:line="360" w:lineRule="auto"/>
        <w:ind w:firstLine="420" w:firstLineChars="200"/>
        <w:rPr>
          <w:szCs w:val="21"/>
        </w:rPr>
      </w:pPr>
      <w:r>
        <w:rPr>
          <w:szCs w:val="21"/>
        </w:rPr>
        <w:t>（19）根据合同规定处理违约事件，协调争端，在仲裁过程中作证；</w:t>
      </w:r>
    </w:p>
    <w:p>
      <w:pPr>
        <w:tabs>
          <w:tab w:val="left" w:pos="1080"/>
        </w:tabs>
        <w:adjustRightInd w:val="0"/>
        <w:snapToGrid w:val="0"/>
        <w:spacing w:line="360" w:lineRule="auto"/>
        <w:ind w:firstLine="420" w:firstLineChars="200"/>
        <w:rPr>
          <w:szCs w:val="21"/>
        </w:rPr>
      </w:pPr>
      <w:r>
        <w:rPr>
          <w:szCs w:val="21"/>
        </w:rPr>
        <w:t>（20）对承包人的交工申请进行评估，具体负责对拟交工工程的检查和验收；</w:t>
      </w:r>
    </w:p>
    <w:p>
      <w:pPr>
        <w:tabs>
          <w:tab w:val="left" w:pos="1080"/>
        </w:tabs>
        <w:adjustRightInd w:val="0"/>
        <w:snapToGrid w:val="0"/>
        <w:spacing w:line="360" w:lineRule="auto"/>
        <w:ind w:firstLine="420" w:firstLineChars="200"/>
        <w:rPr>
          <w:szCs w:val="21"/>
        </w:rPr>
      </w:pPr>
      <w:r>
        <w:rPr>
          <w:szCs w:val="21"/>
        </w:rPr>
        <w:t>（21）签发交工证书；</w:t>
      </w:r>
    </w:p>
    <w:p>
      <w:pPr>
        <w:tabs>
          <w:tab w:val="left" w:pos="1080"/>
        </w:tabs>
        <w:adjustRightInd w:val="0"/>
        <w:snapToGrid w:val="0"/>
        <w:spacing w:line="360" w:lineRule="auto"/>
        <w:ind w:firstLine="420" w:firstLineChars="200"/>
        <w:rPr>
          <w:szCs w:val="21"/>
        </w:rPr>
      </w:pPr>
      <w:r>
        <w:rPr>
          <w:szCs w:val="21"/>
        </w:rPr>
        <w:t>（22）督促并逐项检查承包人按</w:t>
      </w:r>
      <w:r>
        <w:rPr>
          <w:rFonts w:hint="eastAsia"/>
          <w:szCs w:val="21"/>
        </w:rPr>
        <w:t>采购人</w:t>
      </w:r>
      <w:r>
        <w:rPr>
          <w:szCs w:val="21"/>
        </w:rPr>
        <w:t>的要求编制竣工文件；</w:t>
      </w:r>
    </w:p>
    <w:p>
      <w:pPr>
        <w:tabs>
          <w:tab w:val="left" w:pos="1080"/>
        </w:tabs>
        <w:adjustRightInd w:val="0"/>
        <w:snapToGrid w:val="0"/>
        <w:spacing w:line="360" w:lineRule="auto"/>
        <w:ind w:firstLine="420" w:firstLineChars="200"/>
        <w:rPr>
          <w:szCs w:val="21"/>
        </w:rPr>
      </w:pPr>
      <w:r>
        <w:rPr>
          <w:szCs w:val="21"/>
        </w:rPr>
        <w:t>（23）提交监理工作报告，编制监理方面的竣工文件；</w:t>
      </w:r>
    </w:p>
    <w:p>
      <w:pPr>
        <w:tabs>
          <w:tab w:val="left" w:pos="1080"/>
        </w:tabs>
        <w:adjustRightInd w:val="0"/>
        <w:snapToGrid w:val="0"/>
        <w:spacing w:line="360" w:lineRule="auto"/>
        <w:ind w:firstLine="420" w:firstLineChars="200"/>
        <w:rPr>
          <w:szCs w:val="21"/>
        </w:rPr>
      </w:pPr>
      <w:r>
        <w:rPr>
          <w:szCs w:val="21"/>
        </w:rPr>
        <w:t>（24）协助</w:t>
      </w:r>
      <w:r>
        <w:rPr>
          <w:rFonts w:hint="eastAsia"/>
          <w:szCs w:val="21"/>
        </w:rPr>
        <w:t>采购人</w:t>
      </w:r>
      <w:r>
        <w:rPr>
          <w:szCs w:val="21"/>
        </w:rPr>
        <w:t>进行竣工验收和工程移交工作，协助审查工程结算；</w:t>
      </w:r>
    </w:p>
    <w:p>
      <w:pPr>
        <w:tabs>
          <w:tab w:val="left" w:pos="1080"/>
        </w:tabs>
        <w:adjustRightInd w:val="0"/>
        <w:snapToGrid w:val="0"/>
        <w:spacing w:line="360" w:lineRule="auto"/>
        <w:ind w:firstLine="420" w:firstLineChars="200"/>
        <w:rPr>
          <w:szCs w:val="21"/>
        </w:rPr>
      </w:pPr>
      <w:r>
        <w:rPr>
          <w:szCs w:val="21"/>
        </w:rPr>
        <w:t>（25）其他。</w:t>
      </w:r>
    </w:p>
    <w:p>
      <w:pPr>
        <w:spacing w:line="360" w:lineRule="auto"/>
        <w:ind w:firstLine="420" w:firstLineChars="200"/>
        <w:rPr>
          <w:szCs w:val="21"/>
        </w:rPr>
      </w:pPr>
      <w:r>
        <w:rPr>
          <w:rFonts w:hint="eastAsia"/>
          <w:szCs w:val="21"/>
        </w:rPr>
        <w:t>成交供应商</w:t>
      </w:r>
      <w:r>
        <w:rPr>
          <w:szCs w:val="21"/>
        </w:rPr>
        <w:t>应按照公认的监理职业准则、施工合同条款、工程施工监理规范和本项目工程监理的有关要求承担全部监理工作。</w:t>
      </w:r>
    </w:p>
    <w:p>
      <w:pPr>
        <w:spacing w:line="360" w:lineRule="auto"/>
        <w:ind w:firstLine="420" w:firstLineChars="200"/>
        <w:rPr>
          <w:szCs w:val="21"/>
        </w:rPr>
      </w:pPr>
      <w:r>
        <w:rPr>
          <w:rFonts w:hint="eastAsia"/>
          <w:szCs w:val="21"/>
        </w:rPr>
        <w:t>3、成交供应商</w:t>
      </w:r>
      <w:r>
        <w:rPr>
          <w:szCs w:val="21"/>
        </w:rPr>
        <w:t>的义务</w:t>
      </w:r>
    </w:p>
    <w:p>
      <w:pPr>
        <w:pStyle w:val="3"/>
        <w:tabs>
          <w:tab w:val="left" w:pos="540"/>
        </w:tabs>
        <w:adjustRightInd w:val="0"/>
        <w:snapToGrid w:val="0"/>
        <w:spacing w:before="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1）开展监理工作需要的所有设备、常用试验检测设备、测量仪器及办公、生活、通讯条件和交通设施等均由监理人自行配备，有关费用无论是否有单独监理服务费报价清单项目，均视为已包含在监理服务费总额中。</w:t>
      </w:r>
    </w:p>
    <w:p>
      <w:pPr>
        <w:pStyle w:val="3"/>
        <w:tabs>
          <w:tab w:val="left" w:pos="540"/>
        </w:tabs>
        <w:adjustRightInd w:val="0"/>
        <w:snapToGrid w:val="0"/>
        <w:spacing w:before="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（2）应按有关规定配备满足本工程需要的监理人员，并组建监理机构。在工程实施过程中，</w:t>
      </w:r>
      <w:r>
        <w:rPr>
          <w:rFonts w:ascii="Times New Roman" w:hAnsi="Times New Roman" w:cs="Times New Roman"/>
          <w:sz w:val="21"/>
          <w:szCs w:val="21"/>
          <w:highlight w:val="none"/>
        </w:rPr>
        <w:t>应</w:t>
      </w:r>
      <w:r>
        <w:rPr>
          <w:rFonts w:hint="eastAsia" w:ascii="Times New Roman" w:hAnsi="Times New Roman" w:cs="Times New Roman"/>
          <w:sz w:val="21"/>
          <w:szCs w:val="21"/>
          <w:highlight w:val="none"/>
        </w:rPr>
        <w:t>安排</w:t>
      </w:r>
      <w:r>
        <w:rPr>
          <w:rFonts w:hint="eastAsia" w:ascii="Times New Roman" w:hAnsi="Times New Roman" w:cs="Times New Roman"/>
          <w:sz w:val="21"/>
          <w:szCs w:val="21"/>
          <w:highlight w:val="none"/>
          <w:lang w:val="en-US" w:eastAsia="zh-CN"/>
        </w:rPr>
        <w:t>不少于2名监理人员在驻地现场（其中1名技术职称为中级或以上级别）</w:t>
      </w:r>
      <w:r>
        <w:rPr>
          <w:rFonts w:hint="eastAsia" w:ascii="Times New Roman" w:hAnsi="Times New Roman" w:cs="Times New Roman"/>
          <w:sz w:val="21"/>
          <w:szCs w:val="21"/>
          <w:highlight w:val="none"/>
        </w:rPr>
        <w:t>，</w:t>
      </w:r>
      <w:r>
        <w:rPr>
          <w:rFonts w:ascii="Times New Roman" w:hAnsi="Times New Roman" w:cs="Times New Roman"/>
          <w:sz w:val="21"/>
          <w:szCs w:val="21"/>
          <w:highlight w:val="none"/>
        </w:rPr>
        <w:t>保持</w:t>
      </w:r>
      <w:r>
        <w:rPr>
          <w:rFonts w:hint="eastAsia" w:ascii="Times New Roman" w:hAnsi="Times New Roman" w:cs="Times New Roman"/>
          <w:sz w:val="21"/>
          <w:szCs w:val="21"/>
          <w:highlight w:val="none"/>
        </w:rPr>
        <w:t>驻地</w:t>
      </w:r>
      <w:r>
        <w:rPr>
          <w:rFonts w:ascii="Times New Roman" w:hAnsi="Times New Roman" w:cs="Times New Roman"/>
          <w:sz w:val="21"/>
          <w:szCs w:val="21"/>
          <w:highlight w:val="none"/>
        </w:rPr>
        <w:t>监理人员的稳定性，尽量避免人</w:t>
      </w:r>
      <w:r>
        <w:rPr>
          <w:rFonts w:ascii="Times New Roman" w:hAnsi="Times New Roman" w:cs="Times New Roman"/>
          <w:sz w:val="21"/>
          <w:szCs w:val="21"/>
        </w:rPr>
        <w:t>员调换。因特殊原因确需更换总监或监理机构中主要监理人员时，应以书面形式通知</w:t>
      </w:r>
      <w:r>
        <w:rPr>
          <w:rFonts w:hint="eastAsia" w:ascii="Times New Roman" w:hAnsi="Times New Roman" w:cs="Times New Roman"/>
          <w:sz w:val="21"/>
          <w:szCs w:val="21"/>
          <w:lang w:val="en-US" w:eastAsia="zh-CN"/>
        </w:rPr>
        <w:t>采购人</w:t>
      </w:r>
      <w:r>
        <w:rPr>
          <w:rFonts w:ascii="Times New Roman" w:hAnsi="Times New Roman" w:cs="Times New Roman"/>
          <w:sz w:val="21"/>
          <w:szCs w:val="21"/>
        </w:rPr>
        <w:t>，征得</w:t>
      </w:r>
      <w:r>
        <w:rPr>
          <w:rFonts w:hint="eastAsia" w:ascii="Times New Roman" w:hAnsi="Times New Roman" w:cs="Times New Roman"/>
          <w:sz w:val="21"/>
          <w:szCs w:val="21"/>
          <w:lang w:val="en-US" w:eastAsia="zh-CN"/>
        </w:rPr>
        <w:t>采购人</w:t>
      </w:r>
      <w:r>
        <w:rPr>
          <w:rFonts w:ascii="Times New Roman" w:hAnsi="Times New Roman" w:cs="Times New Roman"/>
          <w:sz w:val="21"/>
          <w:szCs w:val="21"/>
        </w:rPr>
        <w:t>同意后才能更换。</w:t>
      </w:r>
    </w:p>
    <w:p>
      <w:pPr>
        <w:pStyle w:val="3"/>
        <w:adjustRightInd w:val="0"/>
        <w:snapToGrid w:val="0"/>
        <w:spacing w:before="0" w:after="0" w:afterAutospacing="0" w:line="360" w:lineRule="auto"/>
        <w:ind w:firstLine="420" w:firstLineChars="200"/>
        <w:rPr>
          <w:rFonts w:ascii="Times New Roman" w:hAnsi="Times New Roman" w:cs="Times New Roman"/>
          <w:color w:val="auto"/>
          <w:sz w:val="21"/>
          <w:szCs w:val="21"/>
          <w:highlight w:val="none"/>
        </w:rPr>
      </w:pPr>
      <w:r>
        <w:rPr>
          <w:rFonts w:ascii="Times New Roman" w:hAnsi="Times New Roman" w:cs="Times New Roman"/>
          <w:sz w:val="21"/>
          <w:szCs w:val="21"/>
          <w:highlight w:val="none"/>
        </w:rPr>
        <w:t>（3）</w:t>
      </w:r>
      <w:r>
        <w:rPr>
          <w:rFonts w:hint="eastAsia" w:ascii="Times New Roman" w:hAnsi="Times New Roman" w:cs="Times New Roman"/>
          <w:sz w:val="21"/>
          <w:szCs w:val="21"/>
          <w:highlight w:val="none"/>
          <w:lang w:val="en-US" w:eastAsia="zh-CN"/>
        </w:rPr>
        <w:t>每名</w:t>
      </w:r>
      <w:r>
        <w:rPr>
          <w:rFonts w:hint="eastAsia" w:ascii="宋体" w:hAnsi="宋体" w:cs="Times New Roman"/>
          <w:color w:val="auto"/>
          <w:sz w:val="21"/>
          <w:szCs w:val="21"/>
          <w:highlight w:val="none"/>
        </w:rPr>
        <w:t>驻地监理每月在现场的时间不少于</w:t>
      </w:r>
      <w:r>
        <w:rPr>
          <w:rFonts w:hint="eastAsia" w:ascii="Times New Roman" w:hAnsi="Times New Roman" w:cs="Times New Roman"/>
          <w:color w:val="auto"/>
          <w:sz w:val="21"/>
          <w:szCs w:val="21"/>
          <w:highlight w:val="none"/>
          <w:lang w:val="en-US" w:eastAsia="zh-CN"/>
        </w:rPr>
        <w:t>15</w:t>
      </w:r>
      <w:r>
        <w:rPr>
          <w:rFonts w:hint="eastAsia" w:ascii="宋体" w:hAnsi="宋体" w:cs="Times New Roman"/>
          <w:color w:val="auto"/>
          <w:sz w:val="21"/>
          <w:szCs w:val="21"/>
          <w:highlight w:val="none"/>
        </w:rPr>
        <w:t>天</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lang w:val="en-US" w:eastAsia="zh-CN"/>
        </w:rPr>
        <w:t>且须确保在现场的驻地监理人数不少于1人</w:t>
      </w:r>
      <w:r>
        <w:rPr>
          <w:rFonts w:hint="eastAsia" w:ascii="宋体" w:hAnsi="宋体" w:cs="Times New Roman"/>
          <w:color w:val="auto"/>
          <w:sz w:val="21"/>
          <w:szCs w:val="21"/>
          <w:highlight w:val="none"/>
        </w:rPr>
        <w:t>，并接受采购人的考勤，其考勤记录作为结算依据之一。驻地监理每月出勤天数不足</w:t>
      </w:r>
      <w:r>
        <w:rPr>
          <w:rFonts w:hint="eastAsia" w:ascii="Times New Roman" w:hAnsi="Times New Roman" w:cs="Times New Roman"/>
          <w:color w:val="auto"/>
          <w:sz w:val="21"/>
          <w:szCs w:val="21"/>
          <w:highlight w:val="none"/>
          <w:lang w:val="en-US" w:eastAsia="zh-CN"/>
        </w:rPr>
        <w:t>15</w:t>
      </w:r>
      <w:r>
        <w:rPr>
          <w:rFonts w:hint="eastAsia" w:ascii="宋体" w:hAnsi="宋体" w:cs="Times New Roman"/>
          <w:color w:val="auto"/>
          <w:sz w:val="21"/>
          <w:szCs w:val="21"/>
          <w:highlight w:val="none"/>
        </w:rPr>
        <w:t>天的，采购人按照每少一天扣</w:t>
      </w:r>
      <w:r>
        <w:rPr>
          <w:rFonts w:hint="eastAsia" w:ascii="Times New Roman" w:hAnsi="Times New Roman" w:cs="Times New Roman"/>
          <w:color w:val="auto"/>
          <w:sz w:val="21"/>
          <w:szCs w:val="21"/>
          <w:highlight w:val="none"/>
          <w:lang w:val="en-US" w:eastAsia="zh-CN"/>
        </w:rPr>
        <w:t>500</w:t>
      </w:r>
      <w:r>
        <w:rPr>
          <w:rFonts w:hint="eastAsia" w:ascii="宋体" w:hAnsi="宋体" w:cs="Times New Roman"/>
          <w:color w:val="auto"/>
          <w:sz w:val="21"/>
          <w:szCs w:val="21"/>
          <w:highlight w:val="none"/>
        </w:rPr>
        <w:t>元的标准从合同费用中扣除。</w:t>
      </w:r>
    </w:p>
    <w:p>
      <w:pPr>
        <w:pStyle w:val="3"/>
        <w:tabs>
          <w:tab w:val="left" w:pos="540"/>
        </w:tabs>
        <w:adjustRightInd w:val="0"/>
        <w:snapToGrid w:val="0"/>
        <w:spacing w:before="0" w:line="360" w:lineRule="auto"/>
        <w:ind w:firstLine="420" w:firstLineChars="200"/>
        <w:rPr>
          <w:rFonts w:hint="eastAsia" w:ascii="Times New Roman" w:hAnsi="Times New Roman" w:cs="Times New Roman"/>
          <w:color w:val="FF0000"/>
          <w:sz w:val="21"/>
          <w:szCs w:val="21"/>
        </w:rPr>
      </w:pP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4</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本项目成交</w:t>
      </w:r>
      <w:r>
        <w:rPr>
          <w:rFonts w:ascii="Times New Roman" w:hAnsi="Times New Roman" w:cs="Times New Roman"/>
          <w:sz w:val="21"/>
          <w:szCs w:val="21"/>
        </w:rPr>
        <w:t>后受委托方应尽快开展施工前期的准备工作。</w:t>
      </w:r>
    </w:p>
    <w:p>
      <w:pPr>
        <w:pStyle w:val="3"/>
        <w:tabs>
          <w:tab w:val="left" w:pos="540"/>
        </w:tabs>
        <w:adjustRightInd w:val="0"/>
        <w:snapToGrid w:val="0"/>
        <w:spacing w:before="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w:t>
      </w:r>
      <w:r>
        <w:rPr>
          <w:rFonts w:hint="eastAsia" w:ascii="Times New Roman" w:hAnsi="Times New Roman" w:cs="Times New Roman"/>
          <w:sz w:val="21"/>
          <w:szCs w:val="21"/>
          <w:lang w:val="en-US" w:eastAsia="zh-CN"/>
        </w:rPr>
        <w:t>5</w:t>
      </w:r>
      <w:r>
        <w:rPr>
          <w:rFonts w:ascii="Times New Roman" w:hAnsi="Times New Roman" w:cs="Times New Roman"/>
          <w:sz w:val="21"/>
          <w:szCs w:val="21"/>
        </w:rPr>
        <w:t>）根据本合同的监理工作范围，对第三方独立的进行施工监理服务，要求第三方按有关规定办理一切工程手续。</w:t>
      </w:r>
    </w:p>
    <w:p>
      <w:pPr>
        <w:pStyle w:val="3"/>
        <w:tabs>
          <w:tab w:val="left" w:pos="540"/>
        </w:tabs>
        <w:adjustRightInd w:val="0"/>
        <w:snapToGrid w:val="0"/>
        <w:spacing w:before="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w:t>
      </w:r>
      <w:r>
        <w:rPr>
          <w:rFonts w:hint="eastAsia" w:ascii="Times New Roman" w:hAnsi="Times New Roman" w:cs="Times New Roman"/>
          <w:sz w:val="21"/>
          <w:szCs w:val="21"/>
          <w:lang w:val="en-US" w:eastAsia="zh-CN"/>
        </w:rPr>
        <w:t>6</w:t>
      </w:r>
      <w:r>
        <w:rPr>
          <w:rFonts w:ascii="Times New Roman" w:hAnsi="Times New Roman" w:cs="Times New Roman"/>
          <w:sz w:val="21"/>
          <w:szCs w:val="21"/>
        </w:rPr>
        <w:t>）未经</w:t>
      </w:r>
      <w:r>
        <w:rPr>
          <w:rFonts w:hint="eastAsia" w:ascii="Times New Roman" w:hAnsi="Times New Roman" w:cs="Times New Roman"/>
          <w:sz w:val="21"/>
          <w:szCs w:val="21"/>
          <w:lang w:val="en-US" w:eastAsia="zh-CN"/>
        </w:rPr>
        <w:t>采购人</w:t>
      </w:r>
      <w:r>
        <w:rPr>
          <w:rFonts w:ascii="Times New Roman" w:hAnsi="Times New Roman" w:cs="Times New Roman"/>
          <w:sz w:val="21"/>
          <w:szCs w:val="21"/>
        </w:rPr>
        <w:t>书面同意，不得泄露与本工程、本监理合同有关的技术、经济信息及其他保密资料。</w:t>
      </w:r>
    </w:p>
    <w:p>
      <w:pPr>
        <w:pStyle w:val="3"/>
        <w:tabs>
          <w:tab w:val="left" w:pos="540"/>
        </w:tabs>
        <w:adjustRightInd w:val="0"/>
        <w:snapToGrid w:val="0"/>
        <w:spacing w:before="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w:t>
      </w:r>
      <w:r>
        <w:rPr>
          <w:rFonts w:hint="eastAsia" w:ascii="Times New Roman" w:hAnsi="Times New Roman" w:cs="Times New Roman"/>
          <w:sz w:val="21"/>
          <w:szCs w:val="21"/>
          <w:lang w:val="en-US" w:eastAsia="zh-CN"/>
        </w:rPr>
        <w:t>7</w:t>
      </w:r>
      <w:r>
        <w:rPr>
          <w:rFonts w:ascii="Times New Roman" w:hAnsi="Times New Roman" w:cs="Times New Roman"/>
          <w:sz w:val="21"/>
          <w:szCs w:val="21"/>
        </w:rPr>
        <w:t>）遵守职业道德，不得与第三方直接或间接地发生经济关系。</w:t>
      </w:r>
    </w:p>
    <w:p>
      <w:pPr>
        <w:spacing w:line="360" w:lineRule="auto"/>
        <w:ind w:left="563" w:leftChars="250" w:hanging="38" w:hangingChars="18"/>
        <w:rPr>
          <w:rFonts w:hint="eastAsia" w:ascii="宋体" w:hAnsi="宋体"/>
          <w:b/>
          <w:kern w:val="44"/>
        </w:rPr>
      </w:pPr>
      <w:r>
        <w:rPr>
          <w:rFonts w:hint="eastAsia" w:ascii="宋体" w:hAnsi="宋体"/>
          <w:b/>
          <w:kern w:val="44"/>
        </w:rPr>
        <w:t>五、采购项目商务要求</w:t>
      </w:r>
    </w:p>
    <w:p>
      <w:pPr>
        <w:spacing w:line="360" w:lineRule="auto"/>
        <w:ind w:left="563" w:leftChars="250" w:hanging="38" w:hangingChars="18"/>
        <w:rPr>
          <w:rFonts w:hint="eastAsia" w:ascii="宋体" w:hAnsi="宋体"/>
          <w:b/>
          <w:kern w:val="44"/>
        </w:rPr>
      </w:pPr>
      <w:r>
        <w:rPr>
          <w:rFonts w:hint="eastAsia" w:ascii="宋体" w:hAnsi="宋体"/>
          <w:b/>
          <w:bCs/>
        </w:rPr>
        <w:t>1.验收要求</w:t>
      </w:r>
    </w:p>
    <w:p>
      <w:pPr>
        <w:spacing w:line="360" w:lineRule="auto"/>
        <w:ind w:firstLine="420" w:firstLineChars="200"/>
        <w:rPr>
          <w:rFonts w:hint="eastAsia" w:ascii="宋体" w:hAnsi="宋体"/>
          <w:bCs/>
        </w:rPr>
      </w:pPr>
      <w:r>
        <w:rPr>
          <w:rFonts w:hint="eastAsia" w:ascii="宋体" w:hAnsi="宋体"/>
          <w:bCs/>
          <w:lang w:val="en-US" w:eastAsia="zh-CN"/>
        </w:rPr>
        <w:t xml:space="preserve"> 项目完工后，</w:t>
      </w:r>
      <w:r>
        <w:rPr>
          <w:rFonts w:hint="eastAsia" w:ascii="宋体" w:hAnsi="宋体"/>
          <w:bCs/>
        </w:rPr>
        <w:t>采购人按国家有关</w:t>
      </w:r>
      <w:r>
        <w:rPr>
          <w:rFonts w:hint="eastAsia" w:ascii="宋体" w:hAnsi="宋体"/>
          <w:bCs/>
          <w:lang w:val="en-US" w:eastAsia="zh-CN"/>
        </w:rPr>
        <w:t>标准</w:t>
      </w:r>
      <w:r>
        <w:rPr>
          <w:rFonts w:hint="eastAsia" w:ascii="宋体" w:hAnsi="宋体"/>
          <w:bCs/>
        </w:rPr>
        <w:t>规范、省航道事务中心</w:t>
      </w:r>
      <w:r>
        <w:rPr>
          <w:rFonts w:hint="eastAsia" w:ascii="宋体" w:hAnsi="宋体"/>
          <w:bCs/>
          <w:lang w:val="en-US" w:eastAsia="zh-CN"/>
        </w:rPr>
        <w:t>的</w:t>
      </w:r>
      <w:r>
        <w:rPr>
          <w:rFonts w:hint="eastAsia" w:ascii="宋体" w:hAnsi="宋体"/>
          <w:bCs/>
        </w:rPr>
        <w:t>有关规定</w:t>
      </w:r>
      <w:r>
        <w:rPr>
          <w:rFonts w:hint="eastAsia" w:ascii="宋体" w:hAnsi="宋体"/>
          <w:bCs/>
          <w:lang w:val="en-US" w:eastAsia="zh-CN"/>
        </w:rPr>
        <w:t>组织</w:t>
      </w:r>
      <w:r>
        <w:rPr>
          <w:rFonts w:hint="eastAsia" w:ascii="宋体" w:hAnsi="宋体"/>
          <w:bCs/>
        </w:rPr>
        <w:t>验收。因服务质量问题发生争议时，</w:t>
      </w:r>
      <w:r>
        <w:rPr>
          <w:rFonts w:hint="eastAsia" w:ascii="宋体" w:hAnsi="宋体"/>
          <w:bCs/>
          <w:lang w:val="en-US" w:eastAsia="zh-CN"/>
        </w:rPr>
        <w:t>邀请</w:t>
      </w:r>
      <w:r>
        <w:rPr>
          <w:rFonts w:hint="eastAsia" w:ascii="宋体" w:hAnsi="宋体"/>
          <w:bCs/>
        </w:rPr>
        <w:t>本地（或上级行业主管部门）或具备相应资质第三方</w:t>
      </w:r>
      <w:r>
        <w:rPr>
          <w:rFonts w:hint="eastAsia" w:ascii="宋体" w:hAnsi="宋体"/>
          <w:bCs/>
          <w:lang w:val="en-US" w:eastAsia="zh-CN"/>
        </w:rPr>
        <w:t>进行</w:t>
      </w:r>
      <w:r>
        <w:rPr>
          <w:rFonts w:hint="eastAsia" w:ascii="宋体" w:hAnsi="宋体"/>
          <w:bCs/>
        </w:rPr>
        <w:t>鉴定，相关费用由成交供应商承担。</w:t>
      </w:r>
    </w:p>
    <w:p>
      <w:pPr>
        <w:spacing w:line="360" w:lineRule="auto"/>
        <w:ind w:firstLine="413" w:firstLineChars="196"/>
        <w:rPr>
          <w:rFonts w:hint="eastAsia" w:ascii="宋体" w:hAnsi="宋体"/>
          <w:b/>
          <w:bCs/>
          <w:highlight w:val="none"/>
        </w:rPr>
      </w:pPr>
      <w:r>
        <w:rPr>
          <w:rFonts w:hint="eastAsia" w:ascii="宋体" w:hAnsi="宋体"/>
          <w:b/>
          <w:bCs/>
          <w:highlight w:val="none"/>
        </w:rPr>
        <w:t>2.付款方式</w:t>
      </w:r>
    </w:p>
    <w:p>
      <w:pPr>
        <w:spacing w:line="360" w:lineRule="auto"/>
        <w:ind w:firstLine="420" w:firstLineChars="200"/>
        <w:rPr>
          <w:rFonts w:hint="eastAsia"/>
          <w:szCs w:val="21"/>
          <w:highlight w:val="none"/>
        </w:rPr>
      </w:pPr>
      <w:r>
        <w:rPr>
          <w:rFonts w:hint="eastAsia"/>
          <w:szCs w:val="21"/>
          <w:highlight w:val="none"/>
        </w:rPr>
        <w:t>（1）</w:t>
      </w:r>
      <w:r>
        <w:rPr>
          <w:szCs w:val="21"/>
          <w:highlight w:val="none"/>
        </w:rPr>
        <w:t>第一期：合同签订后</w:t>
      </w:r>
      <w:r>
        <w:rPr>
          <w:rFonts w:hint="eastAsia"/>
          <w:szCs w:val="21"/>
          <w:highlight w:val="none"/>
          <w:lang w:val="en-US" w:eastAsia="zh-CN"/>
        </w:rPr>
        <w:t>5个工作日内</w:t>
      </w:r>
      <w:r>
        <w:rPr>
          <w:szCs w:val="21"/>
          <w:highlight w:val="none"/>
        </w:rPr>
        <w:t>，</w:t>
      </w:r>
      <w:r>
        <w:rPr>
          <w:rFonts w:hint="eastAsia"/>
          <w:szCs w:val="21"/>
          <w:highlight w:val="none"/>
          <w:lang w:val="en-US" w:eastAsia="zh-CN"/>
        </w:rPr>
        <w:t>采购人支付合同款的30%（即     元，人民币大写：    ）给成交供应商。</w:t>
      </w:r>
    </w:p>
    <w:p>
      <w:pPr>
        <w:spacing w:line="360" w:lineRule="auto"/>
        <w:ind w:firstLine="420" w:firstLineChars="200"/>
        <w:rPr>
          <w:szCs w:val="21"/>
          <w:highlight w:val="none"/>
        </w:rPr>
      </w:pPr>
      <w:r>
        <w:rPr>
          <w:rFonts w:hint="eastAsia"/>
          <w:szCs w:val="21"/>
          <w:highlight w:val="none"/>
        </w:rPr>
        <w:t>（2）</w:t>
      </w:r>
      <w:r>
        <w:rPr>
          <w:szCs w:val="21"/>
          <w:highlight w:val="none"/>
        </w:rPr>
        <w:t>第二期：在</w:t>
      </w:r>
      <w:r>
        <w:rPr>
          <w:rFonts w:hint="eastAsia" w:ascii="宋体" w:hAnsi="宋体" w:cs="Arial"/>
          <w:szCs w:val="21"/>
          <w:highlight w:val="none"/>
          <w:lang w:val="en-US" w:eastAsia="zh-CN"/>
        </w:rPr>
        <w:t>采购项目</w:t>
      </w:r>
      <w:r>
        <w:rPr>
          <w:rFonts w:hint="eastAsia"/>
          <w:szCs w:val="21"/>
          <w:highlight w:val="none"/>
        </w:rPr>
        <w:t>施工通过采购人</w:t>
      </w:r>
      <w:r>
        <w:rPr>
          <w:rFonts w:hint="eastAsia"/>
          <w:szCs w:val="21"/>
          <w:highlight w:val="none"/>
          <w:lang w:val="en-US" w:eastAsia="zh-CN"/>
        </w:rPr>
        <w:t>初步</w:t>
      </w:r>
      <w:r>
        <w:rPr>
          <w:szCs w:val="21"/>
          <w:highlight w:val="none"/>
        </w:rPr>
        <w:t>验收后，</w:t>
      </w:r>
      <w:r>
        <w:rPr>
          <w:rFonts w:hint="eastAsia"/>
          <w:szCs w:val="21"/>
          <w:highlight w:val="none"/>
        </w:rPr>
        <w:t>成交供应商</w:t>
      </w:r>
      <w:r>
        <w:rPr>
          <w:szCs w:val="21"/>
          <w:highlight w:val="none"/>
        </w:rPr>
        <w:t>按合同要求</w:t>
      </w:r>
      <w:r>
        <w:rPr>
          <w:rFonts w:hint="eastAsia"/>
          <w:szCs w:val="21"/>
          <w:highlight w:val="none"/>
          <w:lang w:val="en-US" w:eastAsia="zh-CN"/>
        </w:rPr>
        <w:t>向采购人书面提出第二期监理服务费支付申请</w:t>
      </w:r>
      <w:r>
        <w:rPr>
          <w:szCs w:val="21"/>
          <w:highlight w:val="none"/>
        </w:rPr>
        <w:t>，</w:t>
      </w:r>
      <w:r>
        <w:rPr>
          <w:rFonts w:hint="eastAsia"/>
          <w:szCs w:val="21"/>
          <w:highlight w:val="none"/>
        </w:rPr>
        <w:t>采购人</w:t>
      </w:r>
      <w:r>
        <w:rPr>
          <w:rFonts w:hint="eastAsia" w:ascii="宋体" w:hAnsi="宋体"/>
          <w:szCs w:val="21"/>
          <w:highlight w:val="none"/>
        </w:rPr>
        <w:t>在收到成交供应商提交的书面申请及有效的税务发票之日</w:t>
      </w:r>
      <w:r>
        <w:rPr>
          <w:szCs w:val="21"/>
          <w:highlight w:val="none"/>
        </w:rPr>
        <w:t>后</w:t>
      </w:r>
      <w:r>
        <w:rPr>
          <w:rFonts w:hint="eastAsia"/>
          <w:szCs w:val="21"/>
          <w:highlight w:val="none"/>
        </w:rPr>
        <w:t>10</w:t>
      </w:r>
      <w:r>
        <w:rPr>
          <w:szCs w:val="21"/>
          <w:highlight w:val="none"/>
        </w:rPr>
        <w:t>个工作日内支付合同款的</w:t>
      </w:r>
      <w:r>
        <w:rPr>
          <w:rFonts w:hint="eastAsia"/>
          <w:szCs w:val="21"/>
          <w:highlight w:val="none"/>
          <w:lang w:val="en-US" w:eastAsia="zh-CN"/>
        </w:rPr>
        <w:t>5</w:t>
      </w:r>
      <w:r>
        <w:rPr>
          <w:szCs w:val="21"/>
          <w:highlight w:val="none"/>
        </w:rPr>
        <w:t>0%（即</w:t>
      </w:r>
      <w:r>
        <w:rPr>
          <w:szCs w:val="21"/>
          <w:highlight w:val="none"/>
          <w:u w:val="single"/>
        </w:rPr>
        <w:t xml:space="preserve">     </w:t>
      </w:r>
      <w:r>
        <w:rPr>
          <w:szCs w:val="21"/>
          <w:highlight w:val="none"/>
        </w:rPr>
        <w:t>元，人民币大写：    ）支付给</w:t>
      </w:r>
      <w:r>
        <w:rPr>
          <w:rFonts w:hint="eastAsia"/>
          <w:szCs w:val="21"/>
          <w:highlight w:val="none"/>
          <w:lang w:val="en-US" w:eastAsia="zh-CN"/>
        </w:rPr>
        <w:t>成交供应商</w:t>
      </w:r>
      <w:r>
        <w:rPr>
          <w:szCs w:val="21"/>
          <w:highlight w:val="none"/>
        </w:rPr>
        <w:t>。</w:t>
      </w:r>
    </w:p>
    <w:p>
      <w:pPr>
        <w:adjustRightInd w:val="0"/>
        <w:snapToGrid w:val="0"/>
        <w:spacing w:line="360" w:lineRule="auto"/>
        <w:ind w:left="1" w:firstLine="420" w:firstLineChars="200"/>
        <w:rPr>
          <w:szCs w:val="21"/>
          <w:highlight w:val="none"/>
        </w:rPr>
      </w:pPr>
      <w:r>
        <w:rPr>
          <w:rFonts w:hint="eastAsia"/>
          <w:szCs w:val="21"/>
          <w:highlight w:val="none"/>
        </w:rPr>
        <w:t>（3）</w:t>
      </w:r>
      <w:r>
        <w:rPr>
          <w:rFonts w:hint="eastAsia"/>
          <w:szCs w:val="21"/>
          <w:highlight w:val="none"/>
          <w:lang w:val="en-US" w:eastAsia="zh-CN"/>
        </w:rPr>
        <w:t>第三期：</w:t>
      </w:r>
      <w:r>
        <w:rPr>
          <w:szCs w:val="21"/>
          <w:highlight w:val="none"/>
        </w:rPr>
        <w:t>在</w:t>
      </w:r>
      <w:r>
        <w:rPr>
          <w:rFonts w:hint="eastAsia"/>
          <w:szCs w:val="21"/>
          <w:highlight w:val="none"/>
          <w:lang w:val="en-US" w:eastAsia="zh-CN"/>
        </w:rPr>
        <w:t>成交供应商向</w:t>
      </w:r>
      <w:r>
        <w:rPr>
          <w:rFonts w:hint="eastAsia" w:ascii="宋体" w:hAnsi="宋体" w:cs="Arial"/>
          <w:szCs w:val="21"/>
          <w:highlight w:val="none"/>
        </w:rPr>
        <w:t>广东省江门航道事务中心</w:t>
      </w:r>
      <w:r>
        <w:rPr>
          <w:rFonts w:hint="eastAsia" w:ascii="宋体" w:hAnsi="宋体" w:cs="Arial"/>
          <w:szCs w:val="21"/>
          <w:highlight w:val="none"/>
          <w:lang w:val="en-US" w:eastAsia="zh-CN"/>
        </w:rPr>
        <w:t>移交采购项目监理</w:t>
      </w:r>
      <w:r>
        <w:rPr>
          <w:szCs w:val="21"/>
          <w:highlight w:val="none"/>
        </w:rPr>
        <w:t>竣工</w:t>
      </w:r>
      <w:r>
        <w:rPr>
          <w:rFonts w:hint="eastAsia"/>
          <w:szCs w:val="21"/>
          <w:highlight w:val="none"/>
        </w:rPr>
        <w:t>资料</w:t>
      </w:r>
      <w:r>
        <w:rPr>
          <w:szCs w:val="21"/>
          <w:highlight w:val="none"/>
        </w:rPr>
        <w:t>后</w:t>
      </w:r>
      <w:r>
        <w:rPr>
          <w:rFonts w:hint="eastAsia"/>
          <w:szCs w:val="21"/>
          <w:highlight w:val="none"/>
          <w:lang w:eastAsia="zh-CN"/>
        </w:rPr>
        <w:t>，</w:t>
      </w:r>
      <w:r>
        <w:rPr>
          <w:rFonts w:hint="eastAsia"/>
          <w:szCs w:val="21"/>
          <w:highlight w:val="none"/>
        </w:rPr>
        <w:t>成交供应商按合同要求办理项目结算手续，采购人在收到成交供应商提交的书面申请及有效的税务发票之日后10个工作日内支付合同款的</w:t>
      </w:r>
      <w:r>
        <w:rPr>
          <w:rFonts w:hint="eastAsia"/>
          <w:szCs w:val="21"/>
          <w:highlight w:val="none"/>
          <w:lang w:val="en-US" w:eastAsia="zh-CN"/>
        </w:rPr>
        <w:t>20</w:t>
      </w:r>
      <w:r>
        <w:rPr>
          <w:rFonts w:hint="eastAsia"/>
          <w:szCs w:val="21"/>
          <w:highlight w:val="none"/>
        </w:rPr>
        <w:t>%（即     元，人民币大写：    ）支付给</w:t>
      </w:r>
      <w:r>
        <w:rPr>
          <w:rFonts w:hint="eastAsia"/>
          <w:szCs w:val="21"/>
          <w:highlight w:val="none"/>
          <w:lang w:val="en-US" w:eastAsia="zh-CN"/>
        </w:rPr>
        <w:t>成交供应商</w:t>
      </w:r>
      <w:r>
        <w:rPr>
          <w:rFonts w:hint="eastAsia"/>
          <w:szCs w:val="21"/>
          <w:highlight w:val="none"/>
        </w:rPr>
        <w:t>。</w:t>
      </w:r>
    </w:p>
    <w:p>
      <w:pPr>
        <w:spacing w:line="360" w:lineRule="auto"/>
        <w:ind w:firstLine="420" w:firstLineChars="200"/>
        <w:rPr>
          <w:szCs w:val="21"/>
          <w:highlight w:val="none"/>
        </w:rPr>
      </w:pPr>
      <w:r>
        <w:rPr>
          <w:rFonts w:hint="eastAsia"/>
          <w:szCs w:val="21"/>
          <w:highlight w:val="none"/>
        </w:rPr>
        <w:t>（4）</w:t>
      </w:r>
      <w:r>
        <w:rPr>
          <w:szCs w:val="21"/>
          <w:highlight w:val="none"/>
        </w:rPr>
        <w:t>支付</w:t>
      </w:r>
      <w:r>
        <w:rPr>
          <w:rFonts w:hint="eastAsia"/>
          <w:szCs w:val="21"/>
          <w:highlight w:val="none"/>
        </w:rPr>
        <w:t>监理服务费</w:t>
      </w:r>
      <w:r>
        <w:rPr>
          <w:szCs w:val="21"/>
          <w:highlight w:val="none"/>
        </w:rPr>
        <w:t>必须</w:t>
      </w:r>
      <w:r>
        <w:rPr>
          <w:rFonts w:hint="eastAsia" w:ascii="宋体" w:hAnsi="宋体"/>
          <w:szCs w:val="21"/>
          <w:highlight w:val="none"/>
        </w:rPr>
        <w:t>凭有效书面申请和有效的税务发票支付，否则采购人有权拒绝支付该笔及该笔之后的合同款</w:t>
      </w:r>
      <w:r>
        <w:rPr>
          <w:szCs w:val="21"/>
          <w:highlight w:val="none"/>
        </w:rPr>
        <w:t>。</w:t>
      </w:r>
    </w:p>
    <w:p>
      <w:pPr>
        <w:spacing w:line="360" w:lineRule="auto"/>
        <w:ind w:firstLine="420" w:firstLineChars="200"/>
        <w:rPr>
          <w:rFonts w:hint="eastAsia" w:ascii="宋体" w:hAnsi="宋体"/>
          <w:szCs w:val="21"/>
          <w:highlight w:val="none"/>
        </w:rPr>
      </w:pPr>
      <w:r>
        <w:rPr>
          <w:rFonts w:hint="eastAsia"/>
          <w:szCs w:val="21"/>
          <w:highlight w:val="none"/>
        </w:rPr>
        <w:t>（5）</w:t>
      </w:r>
      <w:r>
        <w:rPr>
          <w:rFonts w:hint="eastAsia" w:ascii="宋体" w:hAnsi="宋体"/>
          <w:szCs w:val="21"/>
          <w:highlight w:val="none"/>
        </w:rPr>
        <w:t>本项目资金来源于省级财政资金，资金安排在2022年和2023年两年支付。</w:t>
      </w:r>
      <w:r>
        <w:rPr>
          <w:rFonts w:hint="eastAsia" w:ascii="宋体" w:hAnsi="宋体"/>
          <w:szCs w:val="21"/>
          <w:highlight w:val="none"/>
          <w:lang w:val="en-US" w:eastAsia="zh-CN"/>
        </w:rPr>
        <w:t>成交供应商</w:t>
      </w:r>
      <w:r>
        <w:rPr>
          <w:rFonts w:hint="eastAsia" w:ascii="宋体" w:hAnsi="宋体"/>
          <w:szCs w:val="21"/>
          <w:highlight w:val="none"/>
        </w:rPr>
        <w:t>需充分考虑资金拨付对项目实施的影响因素。</w:t>
      </w:r>
      <w:r>
        <w:rPr>
          <w:rFonts w:hint="eastAsia" w:ascii="宋体" w:hAnsi="宋体"/>
          <w:szCs w:val="21"/>
          <w:highlight w:val="none"/>
          <w:lang w:val="en-US" w:eastAsia="zh-CN"/>
        </w:rPr>
        <w:t>成交供应商</w:t>
      </w:r>
      <w:r>
        <w:rPr>
          <w:rFonts w:hint="eastAsia" w:ascii="宋体" w:hAnsi="宋体"/>
          <w:szCs w:val="21"/>
          <w:highlight w:val="none"/>
        </w:rPr>
        <w:t>提交的支付申请材料通过采购人审核后，采购人将会及时将资料报省级财政部门和地方财政部门审批。因财政审批导致支付时间延长或滞后等其他问题，不属于采购人违约，延长或滞后期所产生的利息风险由</w:t>
      </w:r>
      <w:r>
        <w:rPr>
          <w:rFonts w:hint="eastAsia" w:ascii="宋体" w:hAnsi="宋体"/>
          <w:szCs w:val="21"/>
          <w:highlight w:val="none"/>
          <w:lang w:val="en-US" w:eastAsia="zh-CN"/>
        </w:rPr>
        <w:t>成交供应商</w:t>
      </w:r>
      <w:r>
        <w:rPr>
          <w:rFonts w:hint="eastAsia" w:ascii="宋体" w:hAnsi="宋体"/>
          <w:szCs w:val="21"/>
          <w:highlight w:val="none"/>
        </w:rPr>
        <w:t>承担，</w:t>
      </w:r>
      <w:r>
        <w:rPr>
          <w:rFonts w:hint="eastAsia" w:ascii="宋体" w:hAnsi="宋体"/>
          <w:szCs w:val="21"/>
          <w:highlight w:val="none"/>
          <w:lang w:val="en-US" w:eastAsia="zh-CN"/>
        </w:rPr>
        <w:t>成交供应商</w:t>
      </w:r>
      <w:r>
        <w:rPr>
          <w:rFonts w:hint="eastAsia" w:ascii="宋体" w:hAnsi="宋体"/>
          <w:szCs w:val="21"/>
          <w:highlight w:val="none"/>
        </w:rPr>
        <w:t>须继续履行合同中要求的相关责任和义务。</w:t>
      </w:r>
    </w:p>
    <w:p>
      <w:pPr>
        <w:spacing w:line="360" w:lineRule="auto"/>
        <w:ind w:firstLine="413" w:firstLineChars="196"/>
        <w:rPr>
          <w:rFonts w:hint="eastAsia" w:ascii="宋体" w:hAnsi="宋体"/>
          <w:b/>
          <w:bCs/>
        </w:rPr>
      </w:pPr>
      <w:r>
        <w:rPr>
          <w:rFonts w:hint="eastAsia" w:ascii="宋体" w:hAnsi="宋体"/>
          <w:b/>
          <w:bCs/>
        </w:rPr>
        <w:t>3.报价要求</w:t>
      </w:r>
    </w:p>
    <w:p>
      <w:pPr>
        <w:spacing w:line="360" w:lineRule="auto"/>
        <w:ind w:firstLine="420" w:firstLineChars="200"/>
        <w:rPr>
          <w:rFonts w:hint="eastAsia" w:ascii="宋体" w:hAnsi="宋体"/>
        </w:rPr>
      </w:pPr>
      <w:r>
        <w:rPr>
          <w:rFonts w:hint="eastAsia" w:ascii="宋体" w:hAnsi="宋体"/>
        </w:rPr>
        <w:t>监理服务费报价为项目监理过程所发生的一切费用，包括但不仅限于：配套设备费用、人员费、电费、水费、测试费、外协费、食宿费、差旅费、保险费、咨询费以及其它伴随服务费用等相关费用。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瀹?浣? color : black">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Sans">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ZTM3ZTQxNTBlNzIwMTdlNTI0NWY3NjIwZDBlODAifQ=="/>
  </w:docVars>
  <w:rsids>
    <w:rsidRoot w:val="0091106D"/>
    <w:rsid w:val="00286EE7"/>
    <w:rsid w:val="0091106D"/>
    <w:rsid w:val="05E20CC8"/>
    <w:rsid w:val="148128E1"/>
    <w:rsid w:val="14D038C5"/>
    <w:rsid w:val="19E61F21"/>
    <w:rsid w:val="28F20301"/>
    <w:rsid w:val="2B1B4534"/>
    <w:rsid w:val="3C1D4CD3"/>
    <w:rsid w:val="4DE9717A"/>
    <w:rsid w:val="57410DA8"/>
    <w:rsid w:val="59584B9B"/>
    <w:rsid w:val="62900206"/>
    <w:rsid w:val="6F5171CA"/>
    <w:rsid w:val="72D77077"/>
    <w:rsid w:val="7604455E"/>
    <w:rsid w:val="766B4D59"/>
    <w:rsid w:val="793223D9"/>
    <w:rsid w:val="798D066E"/>
    <w:rsid w:val="7B8A50F9"/>
    <w:rsid w:val="7B967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7"/>
    <w:qFormat/>
    <w:uiPriority w:val="0"/>
    <w:pPr>
      <w:keepNext/>
      <w:keepLines/>
      <w:spacing w:before="260" w:after="260" w:line="412" w:lineRule="auto"/>
      <w:ind w:firstLine="560" w:firstLineChars="200"/>
      <w:outlineLvl w:val="1"/>
    </w:pPr>
    <w:rPr>
      <w:rFonts w:ascii="Arial" w:hAnsi="Arial" w:eastAsia="黑体"/>
      <w:b/>
      <w:sz w:val="32"/>
      <w:szCs w:val="28"/>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toa heading"/>
    <w:basedOn w:val="1"/>
    <w:next w:val="1"/>
    <w:qFormat/>
    <w:uiPriority w:val="0"/>
    <w:pPr>
      <w:widowControl/>
      <w:spacing w:before="120"/>
      <w:jc w:val="left"/>
    </w:pPr>
    <w:rPr>
      <w:rFonts w:ascii="Arial" w:hAnsi="Arial" w:cs="Arial"/>
      <w:kern w:val="0"/>
      <w:sz w:val="24"/>
      <w:szCs w:val="22"/>
    </w:rPr>
  </w:style>
  <w:style w:type="character" w:styleId="5">
    <w:name w:val="Hyperlink"/>
    <w:qFormat/>
    <w:uiPriority w:val="99"/>
    <w:rPr>
      <w:rFonts w:hint="default" w:ascii="瀹?浣? color : black" w:hAnsi="瀹?浣? color : black" w:eastAsia="瀹?浣? color : black" w:cs="瀹?浣? color : black"/>
      <w:color w:val="0000FF"/>
      <w:u w:val="none"/>
    </w:rPr>
  </w:style>
  <w:style w:type="character" w:customStyle="1" w:styleId="7">
    <w:name w:val="标题 2 Char"/>
    <w:basedOn w:val="4"/>
    <w:link w:val="2"/>
    <w:qFormat/>
    <w:uiPriority w:val="0"/>
    <w:rPr>
      <w:rFonts w:ascii="Arial" w:hAnsi="Arial" w:eastAsia="黑体" w:cs="Times New Roman"/>
      <w:b/>
      <w:sz w:val="32"/>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3496</Words>
  <Characters>3590</Characters>
  <Lines>22</Lines>
  <Paragraphs>6</Paragraphs>
  <TotalTime>6</TotalTime>
  <ScaleCrop>false</ScaleCrop>
  <LinksUpToDate>false</LinksUpToDate>
  <CharactersWithSpaces>3628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2019-10-15T08:31:00Z</dcterms:created>
  <dc:creator>陈琨</dc:creator>
  <cp:lastModifiedBy>谢权辉</cp:lastModifiedBy>
  <dcterms:modified xsi:type="dcterms:W3CDTF">2022-08-04T09:17:28Z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D7531917CD6042E1B56D88321EBFD8F2</vt:lpwstr>
  </property>
</Properties>
</file>