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28"/>
        </w:rPr>
      </w:pPr>
      <w:r>
        <w:rPr>
          <w:rFonts w:hint="eastAsia" w:ascii="仿宋_GB2312" w:eastAsia="仿宋_GB2312"/>
          <w:sz w:val="32"/>
          <w:szCs w:val="28"/>
        </w:rPr>
        <w:t>附件1</w:t>
      </w:r>
    </w:p>
    <w:p>
      <w:pPr>
        <w:pStyle w:val="2"/>
        <w:ind w:firstLine="643"/>
        <w:jc w:val="center"/>
        <w:rPr>
          <w:rFonts w:hint="eastAsia"/>
          <w:sz w:val="44"/>
          <w:szCs w:val="44"/>
        </w:rPr>
      </w:pPr>
      <w:r>
        <w:rPr>
          <w:rFonts w:hint="eastAsia"/>
          <w:sz w:val="44"/>
          <w:szCs w:val="44"/>
          <w:lang w:val="en-US" w:eastAsia="zh-CN"/>
        </w:rPr>
        <w:t>开平站码头改造</w:t>
      </w:r>
      <w:r>
        <w:rPr>
          <w:rFonts w:hint="eastAsia"/>
          <w:sz w:val="44"/>
          <w:szCs w:val="44"/>
        </w:rPr>
        <w:t>项目施工监理</w:t>
      </w:r>
    </w:p>
    <w:p>
      <w:pPr>
        <w:pStyle w:val="2"/>
        <w:ind w:firstLine="643"/>
        <w:jc w:val="center"/>
        <w:rPr>
          <w:rFonts w:hint="eastAsia"/>
          <w:sz w:val="44"/>
          <w:szCs w:val="44"/>
        </w:rPr>
      </w:pPr>
      <w:r>
        <w:rPr>
          <w:rFonts w:hint="eastAsia"/>
          <w:sz w:val="44"/>
          <w:szCs w:val="44"/>
        </w:rPr>
        <w:t>用户需求书</w:t>
      </w:r>
    </w:p>
    <w:p>
      <w:pPr>
        <w:spacing w:line="360" w:lineRule="auto"/>
        <w:ind w:firstLine="620" w:firstLineChars="294"/>
        <w:rPr>
          <w:rFonts w:hint="eastAsia" w:ascii="宋体" w:hAnsi="宋体"/>
          <w:b/>
          <w:szCs w:val="21"/>
        </w:rPr>
      </w:pPr>
      <w:bookmarkStart w:id="0" w:name="_Toc518688882"/>
      <w:bookmarkStart w:id="1" w:name="_Toc509580431"/>
      <w:bookmarkStart w:id="2" w:name="_Toc519184051"/>
      <w:bookmarkStart w:id="3" w:name="_Toc501368274"/>
      <w:r>
        <w:rPr>
          <w:rFonts w:hint="eastAsia" w:ascii="宋体" w:hAnsi="宋体"/>
          <w:b/>
          <w:szCs w:val="21"/>
        </w:rPr>
        <w:t>一、项目概况</w:t>
      </w:r>
    </w:p>
    <w:bookmarkEnd w:id="0"/>
    <w:bookmarkEnd w:id="1"/>
    <w:bookmarkEnd w:id="2"/>
    <w:bookmarkEnd w:id="3"/>
    <w:p>
      <w:pPr>
        <w:spacing w:line="360" w:lineRule="auto"/>
        <w:ind w:left="187" w:leftChars="89" w:firstLine="420" w:firstLineChars="200"/>
        <w:rPr>
          <w:rFonts w:hint="eastAsia"/>
        </w:rPr>
      </w:pPr>
      <w:r>
        <w:rPr>
          <w:rFonts w:hint="eastAsia" w:ascii="宋体" w:hAnsi="宋体" w:eastAsia="宋体" w:cs="宋体"/>
          <w:sz w:val="21"/>
          <w:szCs w:val="21"/>
          <w:lang w:val="en-US" w:eastAsia="zh-CN"/>
        </w:rPr>
        <w:t>按照</w:t>
      </w:r>
      <w:r>
        <w:rPr>
          <w:rFonts w:hint="eastAsia" w:ascii="宋体" w:hAnsi="宋体" w:cs="宋体"/>
          <w:sz w:val="21"/>
          <w:szCs w:val="21"/>
          <w:lang w:val="en-US" w:eastAsia="zh-CN"/>
        </w:rPr>
        <w:t>工作部署</w:t>
      </w:r>
      <w:r>
        <w:rPr>
          <w:rFonts w:hint="eastAsia"/>
        </w:rPr>
        <w:t>，</w:t>
      </w:r>
      <w:r>
        <w:rPr>
          <w:rFonts w:hint="eastAsia"/>
          <w:lang w:val="en-US" w:eastAsia="zh-CN"/>
        </w:rPr>
        <w:t>广东省</w:t>
      </w:r>
      <w:r>
        <w:rPr>
          <w:rFonts w:hint="eastAsia"/>
        </w:rPr>
        <w:t>江门航道事务中心</w:t>
      </w:r>
      <w:r>
        <w:rPr>
          <w:rFonts w:hint="eastAsia"/>
          <w:lang w:val="en-US" w:eastAsia="zh-CN"/>
        </w:rPr>
        <w:t>台山航标与测绘所</w:t>
      </w:r>
      <w:r>
        <w:rPr>
          <w:rFonts w:hint="eastAsia"/>
        </w:rPr>
        <w:t>实施</w:t>
      </w:r>
      <w:r>
        <w:rPr>
          <w:rFonts w:hint="eastAsia"/>
          <w:lang w:val="en-US" w:eastAsia="zh-CN"/>
        </w:rPr>
        <w:t>开平站码头改造</w:t>
      </w:r>
      <w:r>
        <w:rPr>
          <w:rFonts w:hint="eastAsia"/>
        </w:rPr>
        <w:t>项目，项目内容包括</w:t>
      </w:r>
      <w:r>
        <w:rPr>
          <w:rFonts w:hint="eastAsia"/>
          <w:lang w:val="en-US" w:eastAsia="zh-CN"/>
        </w:rPr>
        <w:t>主体改造施工、水电安装、临时施工钢栈桥搭建</w:t>
      </w:r>
      <w:r>
        <w:rPr>
          <w:rFonts w:hint="eastAsia"/>
        </w:rPr>
        <w:t>等。</w:t>
      </w:r>
    </w:p>
    <w:tbl>
      <w:tblPr>
        <w:tblStyle w:val="4"/>
        <w:tblW w:w="7772" w:type="dxa"/>
        <w:jc w:val="center"/>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30"/>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714" w:type="dxa"/>
            <w:vAlign w:val="center"/>
          </w:tcPr>
          <w:p>
            <w:pPr>
              <w:tabs>
                <w:tab w:val="left" w:pos="424"/>
              </w:tabs>
              <w:snapToGrid w:val="0"/>
              <w:spacing w:line="360" w:lineRule="auto"/>
              <w:jc w:val="center"/>
              <w:rPr>
                <w:rFonts w:ascii="宋体" w:hAnsi="宋体" w:cs="宋体"/>
                <w:szCs w:val="21"/>
              </w:rPr>
            </w:pPr>
            <w:r>
              <w:rPr>
                <w:rFonts w:hint="eastAsia" w:ascii="宋体" w:hAnsi="宋体" w:cs="宋体"/>
                <w:szCs w:val="21"/>
              </w:rPr>
              <w:t>序号</w:t>
            </w:r>
          </w:p>
        </w:tc>
        <w:tc>
          <w:tcPr>
            <w:tcW w:w="1830" w:type="dxa"/>
            <w:vAlign w:val="center"/>
          </w:tcPr>
          <w:p>
            <w:pPr>
              <w:tabs>
                <w:tab w:val="left" w:pos="424"/>
              </w:tabs>
              <w:snapToGrid w:val="0"/>
              <w:spacing w:line="360" w:lineRule="auto"/>
              <w:jc w:val="center"/>
              <w:rPr>
                <w:rFonts w:ascii="宋体" w:hAnsi="宋体" w:cs="宋体"/>
                <w:szCs w:val="21"/>
              </w:rPr>
            </w:pPr>
            <w:r>
              <w:rPr>
                <w:rFonts w:hint="eastAsia" w:ascii="宋体" w:hAnsi="宋体" w:cs="宋体"/>
                <w:szCs w:val="21"/>
              </w:rPr>
              <w:t>项目名称</w:t>
            </w:r>
          </w:p>
        </w:tc>
        <w:tc>
          <w:tcPr>
            <w:tcW w:w="5228" w:type="dxa"/>
            <w:vAlign w:val="center"/>
          </w:tcPr>
          <w:p>
            <w:pPr>
              <w:snapToGrid w:val="0"/>
              <w:spacing w:line="360" w:lineRule="auto"/>
              <w:jc w:val="center"/>
              <w:rPr>
                <w:rFonts w:ascii="宋体" w:hAnsi="宋体" w:cs="宋体"/>
                <w:szCs w:val="21"/>
              </w:rPr>
            </w:pPr>
            <w:r>
              <w:rPr>
                <w:rFonts w:hint="eastAsia" w:ascii="宋体" w:hAnsi="宋体" w:cs="宋体"/>
                <w:szCs w:val="21"/>
              </w:rPr>
              <w:t>项目内容概述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714" w:type="dxa"/>
            <w:vAlign w:val="center"/>
          </w:tcPr>
          <w:p>
            <w:pPr>
              <w:tabs>
                <w:tab w:val="left" w:pos="424"/>
              </w:tabs>
              <w:snapToGrid w:val="0"/>
              <w:spacing w:line="360" w:lineRule="auto"/>
              <w:jc w:val="center"/>
              <w:rPr>
                <w:rFonts w:ascii="宋体" w:hAnsi="宋体" w:cs="宋体"/>
                <w:szCs w:val="21"/>
              </w:rPr>
            </w:pPr>
            <w:r>
              <w:rPr>
                <w:rFonts w:hint="eastAsia" w:ascii="宋体" w:hAnsi="宋体" w:cs="宋体"/>
                <w:szCs w:val="21"/>
              </w:rPr>
              <w:t>1</w:t>
            </w:r>
          </w:p>
        </w:tc>
        <w:tc>
          <w:tcPr>
            <w:tcW w:w="1830" w:type="dxa"/>
            <w:vAlign w:val="center"/>
          </w:tcPr>
          <w:p>
            <w:pPr>
              <w:tabs>
                <w:tab w:val="left" w:pos="424"/>
              </w:tabs>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开平站码头改造项目</w:t>
            </w:r>
          </w:p>
        </w:tc>
        <w:tc>
          <w:tcPr>
            <w:tcW w:w="5228" w:type="dxa"/>
            <w:vAlign w:val="center"/>
          </w:tcPr>
          <w:p>
            <w:pPr>
              <w:tabs>
                <w:tab w:val="left" w:pos="424"/>
              </w:tabs>
              <w:snapToGrid w:val="0"/>
              <w:spacing w:line="360" w:lineRule="auto"/>
              <w:rPr>
                <w:rFonts w:hint="eastAsia" w:ascii="宋体" w:hAnsi="宋体" w:eastAsia="宋体" w:cs="宋体"/>
                <w:szCs w:val="21"/>
                <w:lang w:val="en-US" w:eastAsia="zh-CN"/>
              </w:rPr>
            </w:pPr>
            <w:r>
              <w:rPr>
                <w:rFonts w:hint="eastAsia" w:ascii="宋体" w:hAnsi="宋体" w:eastAsia="宋体" w:cs="宋体"/>
                <w:sz w:val="21"/>
                <w:szCs w:val="21"/>
                <w:lang w:val="en-US" w:eastAsia="zh-CN"/>
              </w:rPr>
              <w:t>本次改造拟将原码头平台上部纵横梁及面板拆除，改造设计码头平台宽度由 5.5m 变成 8.55m（往岸侧扩展 3.05m），</w:t>
            </w:r>
            <w:r>
              <w:rPr>
                <w:rFonts w:hint="eastAsia" w:ascii="宋体" w:hAnsi="宋体" w:cs="宋体"/>
                <w:sz w:val="21"/>
                <w:szCs w:val="21"/>
                <w:lang w:val="en-US" w:eastAsia="zh-CN"/>
              </w:rPr>
              <w:t>原码头平台长度不变，</w:t>
            </w:r>
            <w:r>
              <w:rPr>
                <w:rFonts w:hint="eastAsia" w:ascii="宋体" w:hAnsi="宋体" w:eastAsia="宋体" w:cs="宋体"/>
                <w:sz w:val="21"/>
                <w:szCs w:val="21"/>
                <w:lang w:val="en-US" w:eastAsia="zh-CN"/>
              </w:rPr>
              <w:t>在码头平台范围内增加冲孔灌注桩，新增冲孔灌注桩与原立柱形成一个整体上部为现浇墩台，顶面高程 3.70m</w:t>
            </w:r>
            <w:r>
              <w:rPr>
                <w:rFonts w:hint="eastAsia" w:ascii="宋体" w:hAnsi="宋体" w:cs="宋体"/>
                <w:sz w:val="21"/>
                <w:szCs w:val="21"/>
                <w:lang w:val="en-US" w:eastAsia="zh-CN"/>
              </w:rPr>
              <w:t>。</w:t>
            </w:r>
            <w:r>
              <w:rPr>
                <w:rFonts w:hint="eastAsia" w:ascii="宋体" w:hAnsi="宋体" w:eastAsia="宋体" w:cs="宋体"/>
                <w:color w:val="auto"/>
                <w:sz w:val="21"/>
                <w:szCs w:val="21"/>
              </w:rPr>
              <w:t>施工总工期计划5个月</w:t>
            </w:r>
            <w:r>
              <w:rPr>
                <w:rFonts w:hint="eastAsia" w:ascii="宋体" w:hAnsi="宋体" w:cs="宋体"/>
                <w:color w:val="auto"/>
                <w:sz w:val="21"/>
                <w:szCs w:val="21"/>
                <w:lang w:eastAsia="zh-CN"/>
              </w:rPr>
              <w:t>。</w:t>
            </w:r>
          </w:p>
        </w:tc>
      </w:tr>
    </w:tbl>
    <w:p>
      <w:pPr>
        <w:spacing w:line="360" w:lineRule="auto"/>
        <w:ind w:firstLine="413" w:firstLineChars="196"/>
        <w:rPr>
          <w:rFonts w:hint="eastAsia" w:ascii="宋体" w:hAnsi="宋体"/>
          <w:b/>
        </w:rPr>
      </w:pPr>
      <w:r>
        <w:rPr>
          <w:rFonts w:hint="eastAsia" w:ascii="宋体" w:hAnsi="宋体"/>
          <w:b/>
        </w:rPr>
        <w:t>二、监理工作范围（包括但不限于）：</w:t>
      </w:r>
    </w:p>
    <w:p>
      <w:pPr>
        <w:spacing w:line="360" w:lineRule="auto"/>
        <w:ind w:firstLine="420" w:firstLineChars="200"/>
        <w:rPr>
          <w:rFonts w:hint="eastAsia" w:ascii="宋体" w:hAnsi="宋体"/>
          <w:szCs w:val="21"/>
        </w:rPr>
      </w:pPr>
      <w:r>
        <w:rPr>
          <w:rFonts w:hint="eastAsia" w:ascii="宋体"/>
          <w:bCs/>
        </w:rPr>
        <w:t>包括项目范围内的施工内容及临时工程等的施工准备阶段、施工阶段、项目预验收阶段、竣工验收阶段全过程施工监理服务及工程结算审核、协调等相关工作。</w:t>
      </w:r>
    </w:p>
    <w:p>
      <w:pPr>
        <w:spacing w:line="360" w:lineRule="auto"/>
        <w:ind w:firstLine="413" w:firstLineChars="196"/>
        <w:rPr>
          <w:rFonts w:hint="eastAsia" w:ascii="宋体" w:hAnsi="宋体"/>
          <w:b/>
          <w:bCs/>
          <w:szCs w:val="21"/>
        </w:rPr>
      </w:pPr>
      <w:r>
        <w:rPr>
          <w:rFonts w:hint="eastAsia" w:ascii="宋体" w:hAnsi="宋体"/>
          <w:b/>
          <w:bCs/>
          <w:szCs w:val="21"/>
        </w:rPr>
        <w:t>三、监理服务期：</w:t>
      </w:r>
    </w:p>
    <w:p>
      <w:pPr>
        <w:spacing w:line="360" w:lineRule="auto"/>
        <w:ind w:firstLine="420" w:firstLineChars="200"/>
        <w:jc w:val="left"/>
        <w:rPr>
          <w:rFonts w:ascii="宋体" w:hAnsi="宋体"/>
          <w:color w:val="auto"/>
          <w:szCs w:val="21"/>
        </w:rPr>
      </w:pPr>
      <w:r>
        <w:rPr>
          <w:rFonts w:hint="eastAsia" w:ascii="宋体" w:hAnsi="宋体"/>
          <w:color w:val="auto"/>
          <w:szCs w:val="21"/>
        </w:rPr>
        <w:t>从监理合同生效之日起至监理范围内所有工程内容竣工验收（含缺陷责任期）之日止。施工监理期12个月（以采购人发出书面通知约定的进场时间开始起算），缺陷责任期12个月（项目通过广东省航道事务中心验收当日起算）。</w:t>
      </w:r>
    </w:p>
    <w:p>
      <w:pPr>
        <w:spacing w:line="360" w:lineRule="auto"/>
        <w:ind w:firstLine="420" w:firstLineChars="200"/>
        <w:jc w:val="center"/>
        <w:rPr>
          <w:rFonts w:ascii="宋体" w:hAnsi="宋体"/>
          <w:szCs w:val="21"/>
        </w:rPr>
      </w:pPr>
      <w:r>
        <w:rPr>
          <w:rFonts w:hint="eastAsia" w:ascii="宋体" w:hAnsi="宋体"/>
          <w:szCs w:val="21"/>
        </w:rPr>
        <w:t>项目概况表</w:t>
      </w:r>
    </w:p>
    <w:tbl>
      <w:tblPr>
        <w:tblStyle w:val="4"/>
        <w:tblW w:w="93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94"/>
        <w:gridCol w:w="1289"/>
        <w:gridCol w:w="1725"/>
        <w:gridCol w:w="2100"/>
        <w:gridCol w:w="2958"/>
        <w:gridCol w:w="6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83" w:hRule="atLeast"/>
          <w:jc w:val="center"/>
        </w:trPr>
        <w:tc>
          <w:tcPr>
            <w:tcW w:w="594" w:type="dxa"/>
            <w:vMerge w:val="restart"/>
            <w:vAlign w:val="center"/>
          </w:tcPr>
          <w:p>
            <w:pPr>
              <w:ind w:left="42" w:leftChars="20"/>
              <w:jc w:val="center"/>
              <w:rPr>
                <w:bCs/>
              </w:rPr>
            </w:pPr>
            <w:r>
              <w:rPr>
                <w:rFonts w:hint="eastAsia"/>
                <w:bCs/>
              </w:rPr>
              <w:t>序号</w:t>
            </w:r>
          </w:p>
        </w:tc>
        <w:tc>
          <w:tcPr>
            <w:tcW w:w="3014" w:type="dxa"/>
            <w:gridSpan w:val="2"/>
            <w:vAlign w:val="center"/>
          </w:tcPr>
          <w:p>
            <w:pPr>
              <w:ind w:left="42" w:leftChars="20"/>
              <w:jc w:val="center"/>
              <w:rPr>
                <w:bCs/>
              </w:rPr>
            </w:pPr>
            <w:r>
              <w:rPr>
                <w:rFonts w:hint="eastAsia"/>
                <w:bCs/>
              </w:rPr>
              <w:t>项目名称</w:t>
            </w:r>
          </w:p>
        </w:tc>
        <w:tc>
          <w:tcPr>
            <w:tcW w:w="2100" w:type="dxa"/>
            <w:vMerge w:val="restart"/>
            <w:vAlign w:val="center"/>
          </w:tcPr>
          <w:p>
            <w:pPr>
              <w:ind w:left="42" w:leftChars="20"/>
              <w:jc w:val="center"/>
              <w:rPr>
                <w:bCs/>
              </w:rPr>
            </w:pPr>
            <w:r>
              <w:rPr>
                <w:rFonts w:hint="eastAsia"/>
                <w:bCs/>
              </w:rPr>
              <w:t>包含施工内容</w:t>
            </w:r>
          </w:p>
        </w:tc>
        <w:tc>
          <w:tcPr>
            <w:tcW w:w="2958" w:type="dxa"/>
            <w:vMerge w:val="restart"/>
            <w:vAlign w:val="center"/>
          </w:tcPr>
          <w:p>
            <w:pPr>
              <w:ind w:left="42" w:leftChars="20"/>
              <w:jc w:val="center"/>
              <w:rPr>
                <w:bCs/>
              </w:rPr>
            </w:pPr>
            <w:r>
              <w:rPr>
                <w:rFonts w:hint="eastAsia"/>
                <w:bCs/>
              </w:rPr>
              <w:t>监理服务期（月）</w:t>
            </w:r>
          </w:p>
        </w:tc>
        <w:tc>
          <w:tcPr>
            <w:tcW w:w="634" w:type="dxa"/>
            <w:vMerge w:val="restart"/>
            <w:vAlign w:val="center"/>
          </w:tcPr>
          <w:p>
            <w:pPr>
              <w:ind w:left="42" w:leftChars="20"/>
              <w:jc w:val="center"/>
              <w:rPr>
                <w:bCs/>
              </w:rPr>
            </w:pPr>
            <w:r>
              <w:rPr>
                <w:rFonts w:hint="eastAsia"/>
                <w:bC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88" w:hRule="atLeast"/>
          <w:jc w:val="center"/>
        </w:trPr>
        <w:tc>
          <w:tcPr>
            <w:tcW w:w="594" w:type="dxa"/>
            <w:vMerge w:val="continue"/>
            <w:vAlign w:val="center"/>
          </w:tcPr>
          <w:p>
            <w:pPr>
              <w:ind w:left="42" w:leftChars="20"/>
              <w:jc w:val="center"/>
              <w:rPr>
                <w:bCs/>
              </w:rPr>
            </w:pPr>
          </w:p>
        </w:tc>
        <w:tc>
          <w:tcPr>
            <w:tcW w:w="1289" w:type="dxa"/>
            <w:vAlign w:val="center"/>
          </w:tcPr>
          <w:p>
            <w:pPr>
              <w:ind w:left="42" w:leftChars="20"/>
              <w:jc w:val="center"/>
              <w:rPr>
                <w:bCs/>
              </w:rPr>
            </w:pPr>
            <w:r>
              <w:rPr>
                <w:rFonts w:hint="eastAsia"/>
                <w:bCs/>
              </w:rPr>
              <w:t>监理项目名称</w:t>
            </w:r>
          </w:p>
        </w:tc>
        <w:tc>
          <w:tcPr>
            <w:tcW w:w="1725" w:type="dxa"/>
            <w:vAlign w:val="center"/>
          </w:tcPr>
          <w:p>
            <w:pPr>
              <w:ind w:left="42" w:leftChars="20"/>
              <w:jc w:val="center"/>
              <w:rPr>
                <w:bCs/>
              </w:rPr>
            </w:pPr>
            <w:r>
              <w:rPr>
                <w:rFonts w:hint="eastAsia"/>
                <w:bCs/>
              </w:rPr>
              <w:t>对应施工标段名称</w:t>
            </w:r>
          </w:p>
        </w:tc>
        <w:tc>
          <w:tcPr>
            <w:tcW w:w="2100" w:type="dxa"/>
            <w:vMerge w:val="continue"/>
            <w:vAlign w:val="center"/>
          </w:tcPr>
          <w:p>
            <w:pPr>
              <w:ind w:left="42" w:leftChars="20"/>
              <w:jc w:val="center"/>
              <w:rPr>
                <w:bCs/>
              </w:rPr>
            </w:pPr>
          </w:p>
        </w:tc>
        <w:tc>
          <w:tcPr>
            <w:tcW w:w="2958" w:type="dxa"/>
            <w:vMerge w:val="continue"/>
            <w:vAlign w:val="center"/>
          </w:tcPr>
          <w:p>
            <w:pPr>
              <w:ind w:left="42" w:leftChars="20"/>
              <w:jc w:val="center"/>
              <w:rPr>
                <w:bCs/>
              </w:rPr>
            </w:pPr>
          </w:p>
        </w:tc>
        <w:tc>
          <w:tcPr>
            <w:tcW w:w="634" w:type="dxa"/>
            <w:vMerge w:val="continue"/>
            <w:vAlign w:val="center"/>
          </w:tcPr>
          <w:p>
            <w:pPr>
              <w:ind w:left="42" w:leftChars="20"/>
              <w:jc w:val="center"/>
              <w:rPr>
                <w:rStyle w:val="6"/>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234" w:hRule="atLeast"/>
          <w:jc w:val="center"/>
        </w:trPr>
        <w:tc>
          <w:tcPr>
            <w:tcW w:w="594" w:type="dxa"/>
            <w:vAlign w:val="center"/>
          </w:tcPr>
          <w:p>
            <w:pPr>
              <w:ind w:left="42" w:leftChars="20"/>
              <w:jc w:val="center"/>
              <w:rPr>
                <w:bCs/>
              </w:rPr>
            </w:pPr>
            <w:r>
              <w:rPr>
                <w:rFonts w:hint="eastAsia"/>
                <w:bCs/>
              </w:rPr>
              <w:t>1</w:t>
            </w:r>
          </w:p>
        </w:tc>
        <w:tc>
          <w:tcPr>
            <w:tcW w:w="1289" w:type="dxa"/>
            <w:vAlign w:val="center"/>
          </w:tcPr>
          <w:p>
            <w:pPr>
              <w:snapToGrid w:val="0"/>
              <w:ind w:left="42" w:leftChars="20"/>
              <w:jc w:val="center"/>
              <w:rPr>
                <w:bCs/>
              </w:rPr>
            </w:pPr>
            <w:r>
              <w:rPr>
                <w:rFonts w:hint="eastAsia" w:ascii="宋体" w:hAnsi="宋体"/>
                <w:bCs/>
                <w:lang w:val="en-US" w:eastAsia="zh-CN"/>
              </w:rPr>
              <w:t>开平站码头改造</w:t>
            </w:r>
            <w:r>
              <w:rPr>
                <w:rFonts w:hint="eastAsia" w:ascii="宋体" w:hAnsi="宋体"/>
                <w:bCs/>
              </w:rPr>
              <w:t>项目施工监</w:t>
            </w:r>
            <w:r>
              <w:rPr>
                <w:rFonts w:hint="eastAsia" w:ascii="宋体" w:hAnsi="宋体"/>
              </w:rPr>
              <w:t>理</w:t>
            </w:r>
          </w:p>
        </w:tc>
        <w:tc>
          <w:tcPr>
            <w:tcW w:w="1725" w:type="dxa"/>
            <w:vAlign w:val="center"/>
          </w:tcPr>
          <w:p>
            <w:pPr>
              <w:snapToGrid w:val="0"/>
              <w:ind w:left="42" w:leftChars="20"/>
              <w:jc w:val="center"/>
              <w:rPr>
                <w:bCs/>
              </w:rPr>
            </w:pPr>
            <w:r>
              <w:rPr>
                <w:rFonts w:hint="eastAsia" w:ascii="宋体" w:hAnsi="宋体"/>
                <w:lang w:val="en-US" w:eastAsia="zh-CN"/>
              </w:rPr>
              <w:t>开平站码头改造</w:t>
            </w:r>
            <w:r>
              <w:rPr>
                <w:rFonts w:hint="eastAsia" w:ascii="宋体" w:hAnsi="宋体"/>
              </w:rPr>
              <w:t>项目</w:t>
            </w:r>
          </w:p>
        </w:tc>
        <w:tc>
          <w:tcPr>
            <w:tcW w:w="2100" w:type="dxa"/>
            <w:vAlign w:val="center"/>
          </w:tcPr>
          <w:p>
            <w:pPr>
              <w:ind w:left="42" w:leftChars="20"/>
              <w:jc w:val="center"/>
              <w:rPr>
                <w:bCs/>
              </w:rPr>
            </w:pPr>
            <w:r>
              <w:rPr>
                <w:rFonts w:hint="eastAsia"/>
                <w:bCs/>
                <w:lang w:val="en-US" w:eastAsia="zh-CN"/>
              </w:rPr>
              <w:t>对开平站码头改造进行施工监理</w:t>
            </w:r>
            <w:r>
              <w:rPr>
                <w:rFonts w:hint="eastAsia"/>
                <w:bCs/>
              </w:rPr>
              <w:t>（具体工程量以施工设计方案为准）</w:t>
            </w:r>
          </w:p>
        </w:tc>
        <w:tc>
          <w:tcPr>
            <w:tcW w:w="2958" w:type="dxa"/>
            <w:vAlign w:val="center"/>
          </w:tcPr>
          <w:p>
            <w:pPr>
              <w:spacing w:line="360" w:lineRule="auto"/>
              <w:ind w:firstLine="420" w:firstLineChars="200"/>
              <w:jc w:val="left"/>
              <w:rPr>
                <w:bCs/>
              </w:rPr>
            </w:pPr>
            <w:r>
              <w:rPr>
                <w:rFonts w:hint="eastAsia" w:ascii="宋体" w:hAnsi="宋体" w:eastAsia="宋体" w:cs="宋体"/>
                <w:color w:val="auto"/>
                <w:sz w:val="21"/>
                <w:szCs w:val="21"/>
              </w:rPr>
              <w:t>从监理合同生效之日起至监理范围内所有工程内容竣工验收（含缺陷责任期）之日止。</w:t>
            </w:r>
            <w:r>
              <w:rPr>
                <w:rFonts w:hint="eastAsia" w:ascii="宋体" w:hAnsi="宋体" w:eastAsia="宋体" w:cs="宋体"/>
                <w:b/>
                <w:color w:val="auto"/>
                <w:sz w:val="21"/>
                <w:szCs w:val="21"/>
              </w:rPr>
              <w:t>施工监理期12个月</w:t>
            </w:r>
            <w:r>
              <w:rPr>
                <w:rFonts w:hint="eastAsia" w:ascii="宋体" w:hAnsi="宋体" w:eastAsia="宋体" w:cs="宋体"/>
                <w:color w:val="auto"/>
                <w:sz w:val="21"/>
                <w:szCs w:val="21"/>
              </w:rPr>
              <w:t>（以采购人发出书面通知约定的进场时间开始起算；</w:t>
            </w:r>
            <w:r>
              <w:rPr>
                <w:rFonts w:hint="eastAsia" w:ascii="宋体" w:hAnsi="宋体" w:eastAsia="宋体" w:cs="宋体"/>
                <w:b/>
                <w:color w:val="auto"/>
                <w:sz w:val="21"/>
                <w:szCs w:val="21"/>
              </w:rPr>
              <w:t>缺陷责任期12个月</w:t>
            </w:r>
            <w:r>
              <w:rPr>
                <w:rFonts w:hint="eastAsia" w:ascii="宋体" w:hAnsi="宋体" w:eastAsia="宋体" w:cs="宋体"/>
                <w:color w:val="auto"/>
                <w:sz w:val="21"/>
                <w:szCs w:val="21"/>
              </w:rPr>
              <w:t>（项目通过广东省航道事务中心验收当日起算）。</w:t>
            </w:r>
          </w:p>
        </w:tc>
        <w:tc>
          <w:tcPr>
            <w:tcW w:w="634" w:type="dxa"/>
            <w:vAlign w:val="center"/>
          </w:tcPr>
          <w:p>
            <w:pPr>
              <w:ind w:left="42" w:leftChars="20"/>
              <w:jc w:val="center"/>
              <w:rPr>
                <w:rStyle w:val="6"/>
                <w:rFonts w:ascii="宋体" w:hAnsi="宋体"/>
                <w:szCs w:val="21"/>
              </w:rPr>
            </w:pPr>
          </w:p>
        </w:tc>
      </w:tr>
    </w:tbl>
    <w:p>
      <w:pPr>
        <w:tabs>
          <w:tab w:val="left" w:pos="1080"/>
        </w:tabs>
        <w:adjustRightInd w:val="0"/>
        <w:snapToGrid w:val="0"/>
        <w:spacing w:line="360" w:lineRule="auto"/>
        <w:rPr>
          <w:rFonts w:ascii="宋体" w:hAnsi="宋体"/>
          <w:szCs w:val="21"/>
        </w:rPr>
      </w:pPr>
    </w:p>
    <w:p>
      <w:pPr>
        <w:adjustRightInd w:val="0"/>
        <w:snapToGrid w:val="0"/>
        <w:spacing w:line="360" w:lineRule="auto"/>
        <w:ind w:firstLine="420" w:firstLineChars="200"/>
        <w:rPr>
          <w:szCs w:val="21"/>
        </w:rPr>
      </w:pPr>
      <w:r>
        <w:rPr>
          <w:rFonts w:hint="eastAsia" w:ascii="宋体"/>
          <w:bCs/>
        </w:rPr>
        <w:t>注：1、</w:t>
      </w:r>
      <w:r>
        <w:rPr>
          <w:rFonts w:hint="eastAsia" w:ascii="宋体"/>
          <w:bCs/>
          <w:lang w:val="en-US" w:eastAsia="zh-CN"/>
        </w:rPr>
        <w:t>施工</w:t>
      </w:r>
      <w:r>
        <w:rPr>
          <w:szCs w:val="21"/>
        </w:rPr>
        <w:t>监理服务期:</w:t>
      </w:r>
      <w:r>
        <w:rPr>
          <w:rFonts w:hint="eastAsia"/>
          <w:szCs w:val="21"/>
          <w:lang w:val="en-US" w:eastAsia="zh-CN"/>
        </w:rPr>
        <w:t>12</w:t>
      </w:r>
      <w:r>
        <w:rPr>
          <w:rFonts w:hint="eastAsia"/>
          <w:szCs w:val="21"/>
        </w:rPr>
        <w:t>个月</w:t>
      </w:r>
      <w:r>
        <w:rPr>
          <w:rFonts w:hint="eastAsia"/>
          <w:color w:val="auto"/>
          <w:szCs w:val="21"/>
        </w:rPr>
        <w:t>。</w:t>
      </w:r>
      <w:r>
        <w:rPr>
          <w:rFonts w:hint="eastAsia" w:ascii="宋体" w:hAnsi="宋体"/>
          <w:color w:val="auto"/>
          <w:szCs w:val="21"/>
        </w:rPr>
        <w:t>以采购人发出书面通知约定的进场时间开始起算</w:t>
      </w:r>
      <w:r>
        <w:rPr>
          <w:color w:val="auto"/>
          <w:szCs w:val="21"/>
        </w:rPr>
        <w:t>至监理范围内所有工程</w:t>
      </w:r>
      <w:r>
        <w:rPr>
          <w:rFonts w:hint="eastAsia"/>
          <w:color w:val="auto"/>
          <w:szCs w:val="21"/>
          <w:lang w:val="en-US" w:eastAsia="zh-CN"/>
        </w:rPr>
        <w:t>内容</w:t>
      </w:r>
      <w:r>
        <w:rPr>
          <w:color w:val="auto"/>
          <w:szCs w:val="21"/>
        </w:rPr>
        <w:t>竣工验收</w:t>
      </w:r>
      <w:r>
        <w:rPr>
          <w:rFonts w:hint="eastAsia"/>
          <w:color w:val="auto"/>
          <w:szCs w:val="21"/>
          <w:lang w:eastAsia="zh-CN"/>
        </w:rPr>
        <w:t>（</w:t>
      </w:r>
      <w:r>
        <w:rPr>
          <w:rFonts w:hint="eastAsia"/>
          <w:color w:val="auto"/>
          <w:szCs w:val="21"/>
          <w:lang w:val="en-US" w:eastAsia="zh-CN"/>
        </w:rPr>
        <w:t>含缺陷责任期</w:t>
      </w:r>
      <w:r>
        <w:rPr>
          <w:rFonts w:hint="eastAsia"/>
          <w:color w:val="auto"/>
          <w:szCs w:val="21"/>
          <w:lang w:eastAsia="zh-CN"/>
        </w:rPr>
        <w:t>）</w:t>
      </w:r>
      <w:r>
        <w:rPr>
          <w:color w:val="auto"/>
          <w:szCs w:val="21"/>
        </w:rPr>
        <w:t>之日止。如</w:t>
      </w:r>
      <w:r>
        <w:rPr>
          <w:szCs w:val="21"/>
        </w:rPr>
        <w:t>项目实施超出服务期，采购人无需支付任何费用给</w:t>
      </w:r>
      <w:r>
        <w:rPr>
          <w:rFonts w:hint="eastAsia"/>
          <w:szCs w:val="21"/>
        </w:rPr>
        <w:t>成交供应商</w:t>
      </w:r>
      <w:r>
        <w:rPr>
          <w:szCs w:val="21"/>
        </w:rPr>
        <w:t>。</w:t>
      </w:r>
    </w:p>
    <w:p>
      <w:pPr>
        <w:spacing w:line="360" w:lineRule="auto"/>
        <w:ind w:firstLine="420" w:firstLineChars="200"/>
        <w:rPr>
          <w:rFonts w:hint="eastAsia" w:ascii="宋体"/>
          <w:bCs/>
        </w:rPr>
      </w:pPr>
      <w:r>
        <w:rPr>
          <w:rFonts w:hint="eastAsia" w:ascii="宋体"/>
          <w:bCs/>
        </w:rPr>
        <w:t>2、监理范围包括项目范围内的施工内容及临时工程等的施工准备阶段、施工阶段、项目预验收阶段、竣工验收阶段全过程施工监理服务及工程结算审核、协调等相关工作。</w:t>
      </w:r>
    </w:p>
    <w:p>
      <w:pPr>
        <w:spacing w:line="360" w:lineRule="auto"/>
        <w:ind w:firstLine="413" w:firstLineChars="196"/>
        <w:rPr>
          <w:rFonts w:hAnsi="宋体"/>
          <w:b/>
        </w:rPr>
      </w:pPr>
      <w:r>
        <w:rPr>
          <w:rFonts w:hint="eastAsia" w:ascii="宋体"/>
          <w:b/>
        </w:rPr>
        <w:t>四、</w:t>
      </w:r>
      <w:r>
        <w:rPr>
          <w:rFonts w:hint="eastAsia" w:hAnsi="宋体"/>
          <w:b/>
        </w:rPr>
        <w:t>服务要求、服务内容及义务</w:t>
      </w:r>
    </w:p>
    <w:p>
      <w:pPr>
        <w:spacing w:line="360" w:lineRule="auto"/>
        <w:ind w:firstLine="420" w:firstLineChars="200"/>
        <w:rPr>
          <w:rFonts w:hint="eastAsia" w:hAnsi="宋体"/>
          <w:bCs/>
        </w:rPr>
      </w:pPr>
      <w:r>
        <w:rPr>
          <w:rFonts w:hint="eastAsia" w:hAnsi="宋体"/>
          <w:bCs/>
        </w:rPr>
        <w:t>1、服务要求：确保质量、确保安全、确保进度。</w:t>
      </w:r>
    </w:p>
    <w:p>
      <w:pPr>
        <w:spacing w:line="360" w:lineRule="auto"/>
        <w:ind w:firstLine="420" w:firstLineChars="200"/>
        <w:rPr>
          <w:rFonts w:hint="eastAsia" w:hAnsi="宋体"/>
          <w:bCs/>
        </w:rPr>
      </w:pPr>
      <w:r>
        <w:rPr>
          <w:rFonts w:hint="eastAsia" w:hAnsi="宋体"/>
          <w:bCs/>
        </w:rPr>
        <w:t>2、服务内容：</w:t>
      </w:r>
    </w:p>
    <w:p>
      <w:pPr>
        <w:tabs>
          <w:tab w:val="left" w:pos="1080"/>
        </w:tabs>
        <w:adjustRightInd w:val="0"/>
        <w:snapToGrid w:val="0"/>
        <w:spacing w:line="360" w:lineRule="auto"/>
        <w:ind w:firstLine="420" w:firstLineChars="200"/>
        <w:rPr>
          <w:szCs w:val="21"/>
        </w:rPr>
      </w:pPr>
      <w:r>
        <w:rPr>
          <w:szCs w:val="21"/>
        </w:rPr>
        <w:t>包括但不限于：</w:t>
      </w:r>
    </w:p>
    <w:p>
      <w:pPr>
        <w:tabs>
          <w:tab w:val="left" w:pos="1080"/>
        </w:tabs>
        <w:adjustRightInd w:val="0"/>
        <w:snapToGrid w:val="0"/>
        <w:spacing w:line="360" w:lineRule="auto"/>
        <w:ind w:firstLine="420" w:firstLineChars="200"/>
        <w:rPr>
          <w:szCs w:val="21"/>
        </w:rPr>
      </w:pPr>
      <w:r>
        <w:rPr>
          <w:szCs w:val="21"/>
        </w:rPr>
        <w:t>（1）编制监理计划；</w:t>
      </w:r>
    </w:p>
    <w:p>
      <w:pPr>
        <w:tabs>
          <w:tab w:val="left" w:pos="1080"/>
        </w:tabs>
        <w:adjustRightInd w:val="0"/>
        <w:snapToGrid w:val="0"/>
        <w:spacing w:line="360" w:lineRule="auto"/>
        <w:ind w:firstLine="420" w:firstLineChars="200"/>
        <w:rPr>
          <w:szCs w:val="21"/>
        </w:rPr>
      </w:pPr>
      <w:r>
        <w:rPr>
          <w:szCs w:val="21"/>
        </w:rPr>
        <w:t>（2）熟悉合同文件，了解施工现场，纠正设计图纸中明显错误；</w:t>
      </w:r>
    </w:p>
    <w:p>
      <w:pPr>
        <w:tabs>
          <w:tab w:val="left" w:pos="1080"/>
        </w:tabs>
        <w:adjustRightInd w:val="0"/>
        <w:snapToGrid w:val="0"/>
        <w:spacing w:line="360" w:lineRule="auto"/>
        <w:ind w:firstLine="420" w:firstLineChars="200"/>
        <w:rPr>
          <w:szCs w:val="21"/>
        </w:rPr>
      </w:pPr>
      <w:r>
        <w:rPr>
          <w:szCs w:val="21"/>
        </w:rPr>
        <w:t>（3）参加交桩和设计交底工作，审查承包人提交的复测结果和施工组织（方案）设计；</w:t>
      </w:r>
    </w:p>
    <w:p>
      <w:pPr>
        <w:tabs>
          <w:tab w:val="left" w:pos="1080"/>
        </w:tabs>
        <w:adjustRightInd w:val="0"/>
        <w:snapToGrid w:val="0"/>
        <w:spacing w:line="360" w:lineRule="auto"/>
        <w:ind w:firstLine="420" w:firstLineChars="200"/>
        <w:rPr>
          <w:szCs w:val="21"/>
        </w:rPr>
      </w:pPr>
      <w:r>
        <w:rPr>
          <w:szCs w:val="21"/>
        </w:rPr>
        <w:t>（4）督促和检查承包人建立质量保证体系；</w:t>
      </w:r>
    </w:p>
    <w:p>
      <w:pPr>
        <w:tabs>
          <w:tab w:val="left" w:pos="1080"/>
        </w:tabs>
        <w:adjustRightInd w:val="0"/>
        <w:snapToGrid w:val="0"/>
        <w:spacing w:line="360" w:lineRule="auto"/>
        <w:ind w:firstLine="420" w:firstLineChars="200"/>
        <w:rPr>
          <w:szCs w:val="21"/>
        </w:rPr>
      </w:pPr>
      <w:r>
        <w:rPr>
          <w:szCs w:val="21"/>
        </w:rPr>
        <w:t>（5）主持召开第一次工地会议和常规工地会议；</w:t>
      </w:r>
    </w:p>
    <w:p>
      <w:pPr>
        <w:tabs>
          <w:tab w:val="left" w:pos="1080"/>
        </w:tabs>
        <w:adjustRightInd w:val="0"/>
        <w:snapToGrid w:val="0"/>
        <w:spacing w:line="360" w:lineRule="auto"/>
        <w:ind w:firstLine="420" w:firstLineChars="200"/>
        <w:rPr>
          <w:szCs w:val="21"/>
        </w:rPr>
      </w:pPr>
      <w:r>
        <w:rPr>
          <w:szCs w:val="21"/>
        </w:rPr>
        <w:t>（6）发布开工令，批准分部工程开工报告；</w:t>
      </w:r>
    </w:p>
    <w:p>
      <w:pPr>
        <w:tabs>
          <w:tab w:val="left" w:pos="1080"/>
        </w:tabs>
        <w:adjustRightInd w:val="0"/>
        <w:snapToGrid w:val="0"/>
        <w:spacing w:line="360" w:lineRule="auto"/>
        <w:ind w:firstLine="420" w:firstLineChars="200"/>
        <w:rPr>
          <w:szCs w:val="21"/>
        </w:rPr>
      </w:pPr>
      <w:r>
        <w:rPr>
          <w:szCs w:val="21"/>
        </w:rPr>
        <w:t>（7）审查承包人派驻到现场的常驻现场代表和主要技术管理人员的资质并报</w:t>
      </w:r>
      <w:r>
        <w:rPr>
          <w:rFonts w:hint="eastAsia"/>
          <w:szCs w:val="21"/>
        </w:rPr>
        <w:t>采购人</w:t>
      </w:r>
      <w:r>
        <w:rPr>
          <w:szCs w:val="21"/>
        </w:rPr>
        <w:t>；</w:t>
      </w:r>
    </w:p>
    <w:p>
      <w:pPr>
        <w:tabs>
          <w:tab w:val="left" w:pos="1080"/>
        </w:tabs>
        <w:adjustRightInd w:val="0"/>
        <w:snapToGrid w:val="0"/>
        <w:spacing w:line="360" w:lineRule="auto"/>
        <w:ind w:firstLine="420" w:firstLineChars="200"/>
        <w:rPr>
          <w:szCs w:val="21"/>
        </w:rPr>
      </w:pPr>
      <w:r>
        <w:rPr>
          <w:szCs w:val="21"/>
        </w:rPr>
        <w:t>（8）审批承包人拟用于本工程的原始材料、成套设备品质以及工艺试验和标准试验，必要时上报</w:t>
      </w:r>
      <w:r>
        <w:rPr>
          <w:rFonts w:hint="eastAsia"/>
          <w:szCs w:val="21"/>
        </w:rPr>
        <w:t>采购人</w:t>
      </w:r>
      <w:r>
        <w:rPr>
          <w:szCs w:val="21"/>
        </w:rPr>
        <w:t>；</w:t>
      </w:r>
    </w:p>
    <w:p>
      <w:pPr>
        <w:tabs>
          <w:tab w:val="left" w:pos="1080"/>
        </w:tabs>
        <w:adjustRightInd w:val="0"/>
        <w:snapToGrid w:val="0"/>
        <w:spacing w:line="360" w:lineRule="auto"/>
        <w:ind w:firstLine="420" w:firstLineChars="200"/>
        <w:rPr>
          <w:szCs w:val="21"/>
        </w:rPr>
      </w:pPr>
      <w:r>
        <w:rPr>
          <w:szCs w:val="21"/>
        </w:rPr>
        <w:t>（9）审查承包人拟用于本工程的机械装备的性能与数量；</w:t>
      </w:r>
    </w:p>
    <w:p>
      <w:pPr>
        <w:tabs>
          <w:tab w:val="left" w:pos="1080"/>
        </w:tabs>
        <w:adjustRightInd w:val="0"/>
        <w:snapToGrid w:val="0"/>
        <w:spacing w:line="360" w:lineRule="auto"/>
        <w:ind w:firstLine="420" w:firstLineChars="200"/>
        <w:rPr>
          <w:szCs w:val="21"/>
        </w:rPr>
      </w:pPr>
      <w:r>
        <w:rPr>
          <w:szCs w:val="21"/>
        </w:rPr>
        <w:t>（10）审核承包人实施工程施工方案及主要方法或工艺；</w:t>
      </w:r>
    </w:p>
    <w:p>
      <w:pPr>
        <w:tabs>
          <w:tab w:val="left" w:pos="1080"/>
        </w:tabs>
        <w:adjustRightInd w:val="0"/>
        <w:snapToGrid w:val="0"/>
        <w:spacing w:line="360" w:lineRule="auto"/>
        <w:ind w:firstLine="420" w:firstLineChars="200"/>
        <w:rPr>
          <w:szCs w:val="21"/>
        </w:rPr>
      </w:pPr>
      <w:r>
        <w:rPr>
          <w:szCs w:val="21"/>
        </w:rPr>
        <w:t>（11）审查承包人提交的总体进度计划（批复前报</w:t>
      </w:r>
      <w:r>
        <w:rPr>
          <w:rFonts w:hint="eastAsia"/>
          <w:szCs w:val="21"/>
        </w:rPr>
        <w:t>采购人</w:t>
      </w:r>
      <w:r>
        <w:rPr>
          <w:szCs w:val="21"/>
        </w:rPr>
        <w:t>认可），检查和督促承包人实施进度计划、核批承包人的修正计划；</w:t>
      </w:r>
    </w:p>
    <w:p>
      <w:pPr>
        <w:tabs>
          <w:tab w:val="left" w:pos="1080"/>
        </w:tabs>
        <w:adjustRightInd w:val="0"/>
        <w:snapToGrid w:val="0"/>
        <w:spacing w:line="360" w:lineRule="auto"/>
        <w:ind w:firstLine="420" w:firstLineChars="200"/>
        <w:rPr>
          <w:szCs w:val="21"/>
        </w:rPr>
      </w:pPr>
      <w:r>
        <w:rPr>
          <w:szCs w:val="21"/>
        </w:rPr>
        <w:t>（12）要求承包人按照合同条款、技术规范和监理程序进行施工，通过旁站、巡视、检测、试验和整体验收等手段全面监督、检查和控制工程质量；</w:t>
      </w:r>
      <w:r>
        <w:rPr>
          <w:rFonts w:hint="eastAsia"/>
          <w:szCs w:val="21"/>
        </w:rPr>
        <w:t>负责</w:t>
      </w:r>
      <w:r>
        <w:rPr>
          <w:rFonts w:hint="eastAsia" w:ascii="宋体" w:hAnsi="宋体"/>
          <w:szCs w:val="21"/>
        </w:rPr>
        <w:t>施工现场日常巡查、拍照；</w:t>
      </w:r>
      <w:r>
        <w:rPr>
          <w:szCs w:val="21"/>
        </w:rPr>
        <w:t>监督、检查施工单位的施工安全，应审查施工承包人递交的安全技术措施或者专项施工方案的安全性和可行性，有存在安全隐患的，应以书面的形式要求施工承包人进行整改或暂停施工，直至安全隐患消除以达到合同规定的安全要求。</w:t>
      </w:r>
      <w:r>
        <w:rPr>
          <w:rFonts w:hint="eastAsia"/>
          <w:szCs w:val="21"/>
        </w:rPr>
        <w:t>对施工承包人处置</w:t>
      </w:r>
      <w:r>
        <w:rPr>
          <w:rFonts w:hint="eastAsia"/>
          <w:szCs w:val="21"/>
          <w:lang w:val="en-US" w:eastAsia="zh-CN"/>
        </w:rPr>
        <w:t>废弃</w:t>
      </w:r>
      <w:r>
        <w:rPr>
          <w:rFonts w:hint="eastAsia"/>
          <w:szCs w:val="21"/>
        </w:rPr>
        <w:t>物进行全过程跟踪。</w:t>
      </w:r>
      <w:r>
        <w:rPr>
          <w:szCs w:val="21"/>
        </w:rPr>
        <w:t>监督、检查施工单位的环保工作及文明施工工作</w:t>
      </w:r>
      <w:r>
        <w:rPr>
          <w:rFonts w:hint="eastAsia"/>
          <w:szCs w:val="21"/>
        </w:rPr>
        <w:t>。</w:t>
      </w:r>
    </w:p>
    <w:p>
      <w:pPr>
        <w:tabs>
          <w:tab w:val="left" w:pos="1080"/>
        </w:tabs>
        <w:adjustRightInd w:val="0"/>
        <w:snapToGrid w:val="0"/>
        <w:spacing w:line="360" w:lineRule="auto"/>
        <w:ind w:firstLine="420" w:firstLineChars="200"/>
        <w:rPr>
          <w:szCs w:val="21"/>
        </w:rPr>
      </w:pPr>
      <w:r>
        <w:rPr>
          <w:szCs w:val="21"/>
        </w:rPr>
        <w:t>（13）签发中间交工证书；</w:t>
      </w:r>
    </w:p>
    <w:p>
      <w:pPr>
        <w:tabs>
          <w:tab w:val="left" w:pos="1080"/>
        </w:tabs>
        <w:adjustRightInd w:val="0"/>
        <w:snapToGrid w:val="0"/>
        <w:spacing w:line="360" w:lineRule="auto"/>
        <w:ind w:firstLine="420" w:firstLineChars="200"/>
        <w:rPr>
          <w:szCs w:val="21"/>
        </w:rPr>
      </w:pPr>
      <w:r>
        <w:rPr>
          <w:szCs w:val="21"/>
        </w:rPr>
        <w:t>（14）调查、处理工程质量缺陷和事故，确认设计、承包人提出的改进（补救）措施和方法，并监督实施。出现质量、安全事故时，应及时上报</w:t>
      </w:r>
      <w:r>
        <w:rPr>
          <w:rFonts w:hint="eastAsia"/>
          <w:szCs w:val="21"/>
        </w:rPr>
        <w:t>采购人</w:t>
      </w:r>
      <w:r>
        <w:rPr>
          <w:szCs w:val="21"/>
        </w:rPr>
        <w:t>，并督促承包人按规定上报有关部门；</w:t>
      </w:r>
    </w:p>
    <w:p>
      <w:pPr>
        <w:tabs>
          <w:tab w:val="left" w:pos="1080"/>
        </w:tabs>
        <w:adjustRightInd w:val="0"/>
        <w:snapToGrid w:val="0"/>
        <w:spacing w:line="360" w:lineRule="auto"/>
        <w:ind w:firstLine="420" w:firstLineChars="200"/>
        <w:rPr>
          <w:szCs w:val="21"/>
        </w:rPr>
      </w:pPr>
      <w:r>
        <w:rPr>
          <w:szCs w:val="21"/>
        </w:rPr>
        <w:t>（15）发布停（复）工令；</w:t>
      </w:r>
    </w:p>
    <w:p>
      <w:pPr>
        <w:tabs>
          <w:tab w:val="left" w:pos="1080"/>
        </w:tabs>
        <w:adjustRightInd w:val="0"/>
        <w:snapToGrid w:val="0"/>
        <w:spacing w:line="360" w:lineRule="auto"/>
        <w:ind w:firstLine="420" w:firstLineChars="200"/>
        <w:rPr>
          <w:szCs w:val="21"/>
        </w:rPr>
      </w:pPr>
      <w:r>
        <w:rPr>
          <w:szCs w:val="21"/>
        </w:rPr>
        <w:t>（16）对已完成工程进行准确的计量；</w:t>
      </w:r>
    </w:p>
    <w:p>
      <w:pPr>
        <w:tabs>
          <w:tab w:val="left" w:pos="1080"/>
        </w:tabs>
        <w:adjustRightInd w:val="0"/>
        <w:snapToGrid w:val="0"/>
        <w:spacing w:line="360" w:lineRule="auto"/>
        <w:ind w:firstLine="420" w:firstLineChars="200"/>
        <w:rPr>
          <w:szCs w:val="21"/>
        </w:rPr>
      </w:pPr>
      <w:r>
        <w:rPr>
          <w:szCs w:val="21"/>
        </w:rPr>
        <w:t>（17）审查承包人提交的支付证书；</w:t>
      </w:r>
    </w:p>
    <w:p>
      <w:pPr>
        <w:tabs>
          <w:tab w:val="left" w:pos="1080"/>
        </w:tabs>
        <w:adjustRightInd w:val="0"/>
        <w:snapToGrid w:val="0"/>
        <w:spacing w:line="360" w:lineRule="auto"/>
        <w:ind w:firstLine="420" w:firstLineChars="200"/>
        <w:rPr>
          <w:szCs w:val="21"/>
        </w:rPr>
      </w:pPr>
      <w:r>
        <w:rPr>
          <w:szCs w:val="21"/>
        </w:rPr>
        <w:t>（18）发布变更令（重大、重要变更报</w:t>
      </w:r>
      <w:r>
        <w:rPr>
          <w:rFonts w:hint="eastAsia"/>
          <w:szCs w:val="21"/>
        </w:rPr>
        <w:t>采购人</w:t>
      </w:r>
      <w:r>
        <w:rPr>
          <w:szCs w:val="21"/>
        </w:rPr>
        <w:t>核准）；</w:t>
      </w:r>
    </w:p>
    <w:p>
      <w:pPr>
        <w:tabs>
          <w:tab w:val="left" w:pos="1080"/>
        </w:tabs>
        <w:adjustRightInd w:val="0"/>
        <w:snapToGrid w:val="0"/>
        <w:spacing w:line="360" w:lineRule="auto"/>
        <w:ind w:firstLine="420" w:firstLineChars="200"/>
        <w:rPr>
          <w:szCs w:val="21"/>
        </w:rPr>
      </w:pPr>
      <w:r>
        <w:rPr>
          <w:szCs w:val="21"/>
        </w:rPr>
        <w:t>（19）根据合同规定处理违约事件，协调争端，在仲裁过程中作证；</w:t>
      </w:r>
    </w:p>
    <w:p>
      <w:pPr>
        <w:tabs>
          <w:tab w:val="left" w:pos="1080"/>
        </w:tabs>
        <w:adjustRightInd w:val="0"/>
        <w:snapToGrid w:val="0"/>
        <w:spacing w:line="360" w:lineRule="auto"/>
        <w:ind w:firstLine="420" w:firstLineChars="200"/>
        <w:rPr>
          <w:szCs w:val="21"/>
        </w:rPr>
      </w:pPr>
      <w:r>
        <w:rPr>
          <w:szCs w:val="21"/>
        </w:rPr>
        <w:t>（20）对承包人的交工申请进行评估，具体负责对拟交工工程的检查和验收；</w:t>
      </w:r>
    </w:p>
    <w:p>
      <w:pPr>
        <w:tabs>
          <w:tab w:val="left" w:pos="1080"/>
        </w:tabs>
        <w:adjustRightInd w:val="0"/>
        <w:snapToGrid w:val="0"/>
        <w:spacing w:line="360" w:lineRule="auto"/>
        <w:ind w:firstLine="420" w:firstLineChars="200"/>
        <w:rPr>
          <w:szCs w:val="21"/>
        </w:rPr>
      </w:pPr>
      <w:r>
        <w:rPr>
          <w:szCs w:val="21"/>
        </w:rPr>
        <w:t>（21）签发交工证书；</w:t>
      </w:r>
    </w:p>
    <w:p>
      <w:pPr>
        <w:tabs>
          <w:tab w:val="left" w:pos="1080"/>
        </w:tabs>
        <w:adjustRightInd w:val="0"/>
        <w:snapToGrid w:val="0"/>
        <w:spacing w:line="360" w:lineRule="auto"/>
        <w:ind w:firstLine="420" w:firstLineChars="200"/>
        <w:rPr>
          <w:szCs w:val="21"/>
        </w:rPr>
      </w:pPr>
      <w:r>
        <w:rPr>
          <w:szCs w:val="21"/>
        </w:rPr>
        <w:t>（22）督促并逐项检查承包人按</w:t>
      </w:r>
      <w:r>
        <w:rPr>
          <w:rFonts w:hint="eastAsia"/>
          <w:szCs w:val="21"/>
        </w:rPr>
        <w:t>采购人</w:t>
      </w:r>
      <w:r>
        <w:rPr>
          <w:szCs w:val="21"/>
        </w:rPr>
        <w:t>的要求编制竣工文件；</w:t>
      </w:r>
    </w:p>
    <w:p>
      <w:pPr>
        <w:tabs>
          <w:tab w:val="left" w:pos="1080"/>
        </w:tabs>
        <w:adjustRightInd w:val="0"/>
        <w:snapToGrid w:val="0"/>
        <w:spacing w:line="360" w:lineRule="auto"/>
        <w:ind w:firstLine="420" w:firstLineChars="200"/>
        <w:rPr>
          <w:szCs w:val="21"/>
        </w:rPr>
      </w:pPr>
      <w:r>
        <w:rPr>
          <w:szCs w:val="21"/>
        </w:rPr>
        <w:t>（23）提交监理工作报告，编制监理方面的竣工文件；</w:t>
      </w:r>
    </w:p>
    <w:p>
      <w:pPr>
        <w:tabs>
          <w:tab w:val="left" w:pos="1080"/>
        </w:tabs>
        <w:adjustRightInd w:val="0"/>
        <w:snapToGrid w:val="0"/>
        <w:spacing w:line="360" w:lineRule="auto"/>
        <w:ind w:firstLine="420" w:firstLineChars="200"/>
        <w:rPr>
          <w:szCs w:val="21"/>
        </w:rPr>
      </w:pPr>
      <w:r>
        <w:rPr>
          <w:szCs w:val="21"/>
        </w:rPr>
        <w:t>（24）协助</w:t>
      </w:r>
      <w:r>
        <w:rPr>
          <w:rFonts w:hint="eastAsia"/>
          <w:szCs w:val="21"/>
        </w:rPr>
        <w:t>采购人</w:t>
      </w:r>
      <w:r>
        <w:rPr>
          <w:szCs w:val="21"/>
        </w:rPr>
        <w:t>进行竣工验收和工程移交工作，协助审查工程结算；</w:t>
      </w:r>
    </w:p>
    <w:p>
      <w:pPr>
        <w:tabs>
          <w:tab w:val="left" w:pos="1080"/>
        </w:tabs>
        <w:adjustRightInd w:val="0"/>
        <w:snapToGrid w:val="0"/>
        <w:spacing w:line="360" w:lineRule="auto"/>
        <w:ind w:firstLine="420" w:firstLineChars="200"/>
        <w:rPr>
          <w:szCs w:val="21"/>
        </w:rPr>
      </w:pPr>
      <w:r>
        <w:rPr>
          <w:szCs w:val="21"/>
        </w:rPr>
        <w:t>（25）其他。</w:t>
      </w:r>
    </w:p>
    <w:p>
      <w:pPr>
        <w:spacing w:line="360" w:lineRule="auto"/>
        <w:ind w:firstLine="420" w:firstLineChars="200"/>
        <w:rPr>
          <w:szCs w:val="21"/>
        </w:rPr>
      </w:pPr>
      <w:r>
        <w:rPr>
          <w:rFonts w:hint="eastAsia"/>
          <w:szCs w:val="21"/>
        </w:rPr>
        <w:t>成交供应商</w:t>
      </w:r>
      <w:r>
        <w:rPr>
          <w:szCs w:val="21"/>
        </w:rPr>
        <w:t>应按照公认的监理职业准则、施工合同条款、工程施工监理规范和本项目工程监理的有关要求承担全部监理工作。</w:t>
      </w:r>
    </w:p>
    <w:p>
      <w:pPr>
        <w:spacing w:line="360" w:lineRule="auto"/>
        <w:ind w:firstLine="420" w:firstLineChars="200"/>
        <w:rPr>
          <w:szCs w:val="21"/>
        </w:rPr>
      </w:pPr>
      <w:r>
        <w:rPr>
          <w:rFonts w:hint="eastAsia"/>
          <w:szCs w:val="21"/>
        </w:rPr>
        <w:t>3、成交供应商</w:t>
      </w:r>
      <w:r>
        <w:rPr>
          <w:szCs w:val="21"/>
        </w:rPr>
        <w:t>的义务</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开展监理工作需要的所有设备、常用试验检测设备、测量仪器及办公、生活、通讯条件和交通设施等均由监理人自行配备，有关费用无论是否有单独监理服务费报价清单项目，均视为已包含在监理服务费总额中。</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（2）应按有关规定配备满足本工程需要的监理人员，并组建监理机构。在工程实施过程中，应</w:t>
      </w:r>
      <w:r>
        <w:rPr>
          <w:rFonts w:hint="eastAsia" w:ascii="Times New Roman" w:hAnsi="Times New Roman" w:cs="Times New Roman"/>
          <w:sz w:val="21"/>
          <w:szCs w:val="21"/>
        </w:rPr>
        <w:t>安排的总监技术职称为中级或以上级别，</w:t>
      </w:r>
      <w:r>
        <w:rPr>
          <w:rFonts w:ascii="Times New Roman" w:hAnsi="Times New Roman" w:cs="Times New Roman"/>
          <w:sz w:val="21"/>
          <w:szCs w:val="21"/>
        </w:rPr>
        <w:t>保持监理人员的稳定性，尽量避免人员调换。因特殊原因确需更换总监或监理机构中主要监理人员时，应以书面形式通知委托方，征得委托方同意后才能更换。</w:t>
      </w:r>
    </w:p>
    <w:p>
      <w:pPr>
        <w:pStyle w:val="3"/>
        <w:tabs>
          <w:tab w:val="left" w:pos="540"/>
        </w:tabs>
        <w:adjustRightInd w:val="0"/>
        <w:snapToGrid w:val="0"/>
        <w:spacing w:before="0" w:line="360" w:lineRule="auto"/>
        <w:ind w:firstLine="420" w:firstLineChars="200"/>
        <w:rPr>
          <w:rFonts w:hint="eastAsia" w:ascii="Times New Roman" w:hAnsi="Times New Roman" w:cs="Times New Roman"/>
          <w:color w:val="FF0000"/>
          <w:sz w:val="21"/>
          <w:szCs w:val="21"/>
        </w:rPr>
      </w:pPr>
      <w:r>
        <w:rPr>
          <w:rFonts w:ascii="Times New Roman" w:hAnsi="Times New Roman" w:cs="Times New Roman"/>
          <w:sz w:val="21"/>
          <w:szCs w:val="21"/>
        </w:rPr>
        <w:t>（3）</w:t>
      </w:r>
      <w:r>
        <w:rPr>
          <w:rFonts w:hint="eastAsia" w:ascii="Times New Roman" w:hAnsi="Times New Roman" w:cs="Times New Roman"/>
          <w:sz w:val="21"/>
          <w:szCs w:val="21"/>
        </w:rPr>
        <w:t>本项目成交</w:t>
      </w:r>
      <w:r>
        <w:rPr>
          <w:rFonts w:ascii="Times New Roman" w:hAnsi="Times New Roman" w:cs="Times New Roman"/>
          <w:sz w:val="21"/>
          <w:szCs w:val="21"/>
        </w:rPr>
        <w:t>后受委托方应尽快开展施工前期的准备工作。</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（4）根据本合同的监理工作范围，对第三方独立的进行施工监理服务，要求第三方按有关规定办理一切工程手续。</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（5）在监理合同有效期间及以后1年内，未经委托方书面同意，不得泄露与本工程、本监理合同有关的技术、经济信息及其他保密资料。</w:t>
      </w:r>
    </w:p>
    <w:p>
      <w:pPr>
        <w:pStyle w:val="3"/>
        <w:tabs>
          <w:tab w:val="left" w:pos="540"/>
        </w:tabs>
        <w:adjustRightInd w:val="0"/>
        <w:snapToGrid w:val="0"/>
        <w:spacing w:before="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（6）遵守职业道德，不得与第三方直接或间接地发生经济关系。</w:t>
      </w:r>
    </w:p>
    <w:p>
      <w:pPr>
        <w:spacing w:line="360" w:lineRule="auto"/>
        <w:ind w:left="563" w:leftChars="250" w:hanging="38" w:hangingChars="18"/>
        <w:rPr>
          <w:rFonts w:hint="eastAsia" w:ascii="宋体" w:hAnsi="宋体"/>
          <w:b/>
          <w:kern w:val="44"/>
        </w:rPr>
      </w:pPr>
      <w:r>
        <w:rPr>
          <w:rFonts w:hint="eastAsia" w:ascii="宋体" w:hAnsi="宋体"/>
          <w:b/>
          <w:kern w:val="44"/>
        </w:rPr>
        <w:t>五、采购项目商务要求</w:t>
      </w:r>
    </w:p>
    <w:p>
      <w:pPr>
        <w:spacing w:line="360" w:lineRule="auto"/>
        <w:ind w:left="563" w:leftChars="250" w:hanging="38" w:hangingChars="18"/>
        <w:rPr>
          <w:rFonts w:hint="eastAsia" w:ascii="宋体" w:hAnsi="宋体"/>
          <w:b/>
          <w:kern w:val="44"/>
        </w:rPr>
      </w:pPr>
      <w:r>
        <w:rPr>
          <w:rFonts w:hint="eastAsia" w:ascii="宋体" w:hAnsi="宋体"/>
          <w:b/>
          <w:bCs/>
        </w:rPr>
        <w:t>1.验收要求</w:t>
      </w:r>
    </w:p>
    <w:p>
      <w:pPr>
        <w:spacing w:line="360" w:lineRule="auto"/>
        <w:ind w:firstLine="420" w:firstLineChars="200"/>
        <w:rPr>
          <w:rFonts w:hint="eastAsia" w:ascii="宋体" w:hAnsi="宋体"/>
          <w:bCs/>
        </w:rPr>
      </w:pPr>
      <w:r>
        <w:rPr>
          <w:rFonts w:hint="eastAsia" w:ascii="宋体" w:hAnsi="宋体"/>
          <w:bCs/>
        </w:rPr>
        <w:t>（1）若有国家标准按照国家标准验收，若无国家标准按行业标准验收。</w:t>
      </w:r>
    </w:p>
    <w:p>
      <w:pPr>
        <w:spacing w:line="360" w:lineRule="auto"/>
        <w:ind w:firstLine="420" w:firstLineChars="200"/>
        <w:rPr>
          <w:rFonts w:hint="eastAsia" w:ascii="宋体" w:hAnsi="宋体"/>
          <w:bCs/>
        </w:rPr>
      </w:pPr>
      <w:r>
        <w:rPr>
          <w:rFonts w:hint="eastAsia" w:ascii="宋体" w:hAnsi="宋体"/>
          <w:bCs/>
        </w:rPr>
        <w:t>（2）采购人按国家有关规范、国家和省航道事务中心有关规定进行验收，必要时邀请相关的专业人员或机构参与验收。因服务质量问题发生争议时，由本地（或上级行业主管部门）或具备相应资质第三方鉴定，相关费用由成交供应商承担。</w:t>
      </w:r>
    </w:p>
    <w:p>
      <w:pPr>
        <w:spacing w:line="360" w:lineRule="auto"/>
        <w:ind w:firstLine="413" w:firstLineChars="196"/>
        <w:rPr>
          <w:rFonts w:ascii="宋体" w:hAnsi="宋体"/>
          <w:b/>
          <w:bCs/>
        </w:rPr>
      </w:pPr>
      <w:r>
        <w:rPr>
          <w:rFonts w:hint="eastAsia" w:ascii="宋体" w:hAnsi="宋体"/>
          <w:b/>
          <w:bCs/>
        </w:rPr>
        <w:t>2.付款方式</w:t>
      </w:r>
    </w:p>
    <w:p>
      <w:pPr>
        <w:spacing w:line="360" w:lineRule="auto"/>
        <w:ind w:firstLine="420" w:firstLineChars="200"/>
        <w:rPr>
          <w:szCs w:val="21"/>
        </w:rPr>
      </w:pPr>
      <w:r>
        <w:rPr>
          <w:rFonts w:hint="eastAsia"/>
          <w:szCs w:val="21"/>
        </w:rPr>
        <w:t>（1）</w:t>
      </w:r>
      <w:r>
        <w:rPr>
          <w:szCs w:val="21"/>
        </w:rPr>
        <w:t>第一期：合同签订后，</w:t>
      </w:r>
      <w:r>
        <w:rPr>
          <w:rFonts w:hint="eastAsia"/>
          <w:szCs w:val="21"/>
        </w:rPr>
        <w:t>成交供应商</w:t>
      </w:r>
      <w:r>
        <w:rPr>
          <w:szCs w:val="21"/>
        </w:rPr>
        <w:t>将合同款的</w:t>
      </w:r>
      <w:r>
        <w:rPr>
          <w:rFonts w:hint="eastAsia"/>
          <w:szCs w:val="21"/>
          <w:lang w:val="en-US" w:eastAsia="zh-CN"/>
        </w:rPr>
        <w:t>5</w:t>
      </w:r>
      <w:r>
        <w:rPr>
          <w:szCs w:val="21"/>
        </w:rPr>
        <w:t>%（即</w:t>
      </w:r>
      <w:r>
        <w:rPr>
          <w:szCs w:val="21"/>
          <w:u w:val="single"/>
        </w:rPr>
        <w:t xml:space="preserve">     </w:t>
      </w:r>
      <w:r>
        <w:rPr>
          <w:szCs w:val="21"/>
        </w:rPr>
        <w:t>元，人民币大写：    ）作为项目履约保证金支付给</w:t>
      </w:r>
      <w:r>
        <w:rPr>
          <w:rFonts w:hint="eastAsia"/>
          <w:szCs w:val="21"/>
        </w:rPr>
        <w:t>采购人</w:t>
      </w:r>
      <w:r>
        <w:rPr>
          <w:szCs w:val="21"/>
        </w:rPr>
        <w:t>指定账户，</w:t>
      </w:r>
      <w:r>
        <w:rPr>
          <w:rFonts w:hint="eastAsia"/>
          <w:szCs w:val="21"/>
        </w:rPr>
        <w:t>采购人在</w:t>
      </w:r>
      <w:r>
        <w:rPr>
          <w:rFonts w:hint="eastAsia" w:ascii="宋体" w:hAnsi="宋体"/>
          <w:szCs w:val="21"/>
        </w:rPr>
        <w:t>到成交供应商提交的书面申请及项目履约保证金汇入凭证之日起</w:t>
      </w:r>
      <w:r>
        <w:rPr>
          <w:szCs w:val="21"/>
        </w:rPr>
        <w:t>10个工作日内按合同价的</w:t>
      </w:r>
      <w:r>
        <w:rPr>
          <w:rFonts w:hint="eastAsia"/>
          <w:szCs w:val="21"/>
        </w:rPr>
        <w:t>30</w:t>
      </w:r>
      <w:r>
        <w:rPr>
          <w:szCs w:val="21"/>
        </w:rPr>
        <w:t>%（即</w:t>
      </w:r>
      <w:r>
        <w:rPr>
          <w:szCs w:val="21"/>
          <w:u w:val="single"/>
        </w:rPr>
        <w:t xml:space="preserve">     </w:t>
      </w:r>
      <w:r>
        <w:rPr>
          <w:szCs w:val="21"/>
        </w:rPr>
        <w:t>元，人民币大写：</w:t>
      </w:r>
      <w:r>
        <w:rPr>
          <w:szCs w:val="21"/>
          <w:u w:val="single"/>
        </w:rPr>
        <w:t xml:space="preserve">    </w:t>
      </w:r>
      <w:r>
        <w:rPr>
          <w:szCs w:val="21"/>
        </w:rPr>
        <w:t>）支付给乙方。</w:t>
      </w:r>
    </w:p>
    <w:p>
      <w:pPr>
        <w:spacing w:line="360" w:lineRule="auto"/>
        <w:ind w:firstLine="420" w:firstLineChars="200"/>
        <w:rPr>
          <w:szCs w:val="21"/>
        </w:rPr>
      </w:pPr>
      <w:r>
        <w:rPr>
          <w:rFonts w:hint="eastAsia"/>
          <w:szCs w:val="21"/>
        </w:rPr>
        <w:t>（2）第二期：在项目施工通过采购人验收后，成交供应商按合同要求办理项目结算手续，采购人在收到成交供应商提交的书面申请及有效的税务发票之日后10个工作日内支付合同款的70%（即     元，人民币大写：    ）支付给乙方。</w:t>
      </w:r>
    </w:p>
    <w:p>
      <w:pPr>
        <w:spacing w:line="360" w:lineRule="auto"/>
        <w:ind w:firstLine="420" w:firstLineChars="200"/>
        <w:rPr>
          <w:szCs w:val="21"/>
        </w:rPr>
      </w:pPr>
      <w:r>
        <w:rPr>
          <w:rFonts w:hint="eastAsia"/>
          <w:color w:val="auto"/>
          <w:szCs w:val="21"/>
        </w:rPr>
        <w:t>（3）项目履约保证金在</w:t>
      </w:r>
      <w:r>
        <w:rPr>
          <w:rFonts w:hint="eastAsia"/>
          <w:color w:val="auto"/>
          <w:szCs w:val="21"/>
          <w:lang w:val="en-US" w:eastAsia="zh-CN"/>
        </w:rPr>
        <w:t>开平站码头</w:t>
      </w:r>
      <w:r>
        <w:rPr>
          <w:rFonts w:hint="eastAsia"/>
          <w:color w:val="auto"/>
          <w:szCs w:val="21"/>
        </w:rPr>
        <w:t>改造项目通过广东省航道事务中心验收，并按采购人的要求提交了竣工资料后，成交供应商按要求提交书面申请后</w:t>
      </w:r>
      <w:r>
        <w:rPr>
          <w:rFonts w:hint="eastAsia"/>
          <w:color w:val="auto"/>
          <w:szCs w:val="21"/>
        </w:rPr>
        <w:t>，</w:t>
      </w:r>
      <w:r>
        <w:rPr>
          <w:rFonts w:hint="eastAsia"/>
          <w:szCs w:val="21"/>
        </w:rPr>
        <w:t>采</w:t>
      </w:r>
      <w:bookmarkStart w:id="4" w:name="_GoBack"/>
      <w:bookmarkEnd w:id="4"/>
      <w:r>
        <w:rPr>
          <w:rFonts w:hint="eastAsia"/>
          <w:szCs w:val="21"/>
        </w:rPr>
        <w:t>购人在10个工作日内一次性无息退还。</w:t>
      </w:r>
    </w:p>
    <w:p>
      <w:pPr>
        <w:spacing w:line="360" w:lineRule="auto"/>
        <w:ind w:firstLine="420" w:firstLineChars="200"/>
        <w:rPr>
          <w:szCs w:val="21"/>
        </w:rPr>
      </w:pPr>
      <w:r>
        <w:rPr>
          <w:rFonts w:hint="eastAsia"/>
          <w:szCs w:val="21"/>
        </w:rPr>
        <w:t>（4）支付监理服务费必须凭有效书面申请和有效的税务发票支付。</w:t>
      </w:r>
    </w:p>
    <w:p>
      <w:pPr>
        <w:spacing w:line="360" w:lineRule="auto"/>
        <w:ind w:firstLine="420" w:firstLineChars="200"/>
        <w:rPr>
          <w:rFonts w:hint="eastAsia" w:ascii="宋体" w:hAnsi="宋体"/>
          <w:bCs/>
        </w:rPr>
      </w:pPr>
      <w:r>
        <w:rPr>
          <w:rFonts w:hint="eastAsia"/>
          <w:szCs w:val="21"/>
        </w:rPr>
        <w:t>（5）因受财政拨款控制，在采购人完成各项支付手续报财政审批时，审批导致支付时间延长时，不应属发包人违约，成交供应商须继续履行合同中要求的相关内容。</w:t>
      </w:r>
    </w:p>
    <w:p>
      <w:pPr>
        <w:spacing w:line="360" w:lineRule="auto"/>
        <w:ind w:firstLine="413" w:firstLineChars="196"/>
        <w:rPr>
          <w:rFonts w:hint="eastAsia" w:ascii="宋体" w:hAnsi="宋体"/>
          <w:b/>
          <w:bCs/>
        </w:rPr>
      </w:pPr>
      <w:r>
        <w:rPr>
          <w:rFonts w:hint="eastAsia" w:ascii="宋体" w:hAnsi="宋体"/>
          <w:b/>
          <w:bCs/>
          <w:lang w:val="en-US" w:eastAsia="zh-CN"/>
        </w:rPr>
        <w:t>3</w:t>
      </w:r>
      <w:r>
        <w:rPr>
          <w:rFonts w:hint="eastAsia" w:ascii="宋体" w:hAnsi="宋体"/>
          <w:b/>
          <w:bCs/>
        </w:rPr>
        <w:t>.报价要求</w:t>
      </w:r>
    </w:p>
    <w:p>
      <w:pPr>
        <w:spacing w:line="360" w:lineRule="auto"/>
        <w:ind w:firstLine="420" w:firstLineChars="200"/>
        <w:rPr>
          <w:rFonts w:hint="eastAsia" w:ascii="宋体" w:hAnsi="宋体"/>
        </w:rPr>
      </w:pPr>
      <w:r>
        <w:rPr>
          <w:rFonts w:hint="eastAsia" w:ascii="宋体" w:hAnsi="宋体"/>
        </w:rPr>
        <w:t>监理服务费报价为项目监理过程所发生的一切费用，包括但不仅限于：配套设备费用、人员费、电费、水费、测试费、外协费、食宿费、差旅费、保险费、咨询费以及其它伴随服务费用等相关费用。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瀹?浣? color : black">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6D"/>
    <w:rsid w:val="00286EE7"/>
    <w:rsid w:val="0091106D"/>
    <w:rsid w:val="20127B66"/>
    <w:rsid w:val="6393380E"/>
    <w:rsid w:val="664B6763"/>
    <w:rsid w:val="6AFF4422"/>
    <w:rsid w:val="6B41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0"/>
    <w:pPr>
      <w:keepNext/>
      <w:keepLines/>
      <w:spacing w:before="260" w:after="260" w:line="412" w:lineRule="auto"/>
      <w:ind w:firstLine="560" w:firstLineChars="200"/>
      <w:outlineLvl w:val="1"/>
    </w:pPr>
    <w:rPr>
      <w:rFonts w:ascii="Arial" w:hAnsi="Arial" w:eastAsia="黑体"/>
      <w:b/>
      <w:sz w:val="32"/>
      <w:szCs w:val="28"/>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toa heading"/>
    <w:basedOn w:val="1"/>
    <w:next w:val="1"/>
    <w:qFormat/>
    <w:uiPriority w:val="0"/>
    <w:pPr>
      <w:widowControl/>
      <w:spacing w:before="120"/>
      <w:jc w:val="left"/>
    </w:pPr>
    <w:rPr>
      <w:rFonts w:ascii="Arial" w:hAnsi="Arial" w:cs="Arial"/>
      <w:kern w:val="0"/>
      <w:sz w:val="24"/>
      <w:szCs w:val="22"/>
    </w:rPr>
  </w:style>
  <w:style w:type="character" w:styleId="6">
    <w:name w:val="Hyperlink"/>
    <w:qFormat/>
    <w:uiPriority w:val="99"/>
    <w:rPr>
      <w:rFonts w:hint="default" w:ascii="瀹?浣? color : black" w:hAnsi="瀹?浣? color : black" w:eastAsia="瀹?浣? color : black" w:cs="瀹?浣? color : black"/>
      <w:color w:val="0000FF"/>
      <w:u w:val="none"/>
    </w:rPr>
  </w:style>
  <w:style w:type="character" w:customStyle="1" w:styleId="7">
    <w:name w:val="标题 2 Char"/>
    <w:basedOn w:val="5"/>
    <w:link w:val="2"/>
    <w:qFormat/>
    <w:uiPriority w:val="0"/>
    <w:rPr>
      <w:rFonts w:ascii="Arial" w:hAnsi="Arial" w:eastAsia="黑体" w:cs="Times New Roman"/>
      <w:b/>
      <w:sz w:val="3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472</Words>
  <Characters>2695</Characters>
  <Lines>22</Lines>
  <Paragraphs>6</Paragraphs>
  <TotalTime>4</TotalTime>
  <ScaleCrop>false</ScaleCrop>
  <LinksUpToDate>false</LinksUpToDate>
  <CharactersWithSpaces>3161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2019-10-15T08:31:00Z</dcterms:created>
  <dc:creator>陈琨</dc:creator>
  <cp:lastModifiedBy>小吴</cp:lastModifiedBy>
  <cp:lastPrinted>2021-07-05T02:39:27Z</cp:lastPrinted>
  <dcterms:modified xsi:type="dcterms:W3CDTF">2021-07-05T02:50:32Z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