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黑体" w:hAnsi="黑体" w:eastAsia="黑体"/>
          <w:b/>
          <w:bCs/>
          <w:sz w:val="44"/>
          <w:szCs w:val="44"/>
        </w:rPr>
      </w:pPr>
      <w:bookmarkStart w:id="1" w:name="_GoBack"/>
      <w:bookmarkEnd w:id="1"/>
      <w:r>
        <w:rPr>
          <w:rFonts w:hint="eastAsia" w:ascii="方正小标宋简体" w:hAnsi="方正小标宋简体" w:eastAsia="方正小标宋简体" w:cs="方正小标宋简体"/>
          <w:sz w:val="44"/>
          <w:szCs w:val="44"/>
        </w:rPr>
        <w:t>濛浬枢纽二线船闸试运行方案</w:t>
      </w:r>
    </w:p>
    <w:p>
      <w:pPr>
        <w:spacing w:line="560" w:lineRule="exact"/>
        <w:jc w:val="center"/>
        <w:rPr>
          <w:rFonts w:ascii="仿宋" w:hAnsi="仿宋" w:eastAsia="仿宋"/>
          <w:b/>
          <w:sz w:val="44"/>
          <w:szCs w:val="44"/>
        </w:rPr>
      </w:pPr>
    </w:p>
    <w:p>
      <w:pPr>
        <w:pStyle w:val="21"/>
        <w:spacing w:line="600" w:lineRule="exact"/>
        <w:ind w:firstLine="640" w:firstLineChars="200"/>
        <w:outlineLvl w:val="1"/>
        <w:rPr>
          <w:rFonts w:ascii="黑体" w:hAnsi="黑体" w:eastAsia="黑体" w:cs="黑体"/>
          <w:bCs/>
          <w:sz w:val="32"/>
          <w:szCs w:val="32"/>
        </w:rPr>
      </w:pPr>
      <w:bookmarkStart w:id="0" w:name="_Toc12456710"/>
      <w:r>
        <w:rPr>
          <w:rFonts w:hint="eastAsia" w:ascii="黑体" w:hAnsi="黑体" w:eastAsia="黑体" w:cs="黑体"/>
          <w:bCs/>
          <w:sz w:val="32"/>
          <w:szCs w:val="32"/>
        </w:rPr>
        <w:t>一、基本情况</w:t>
      </w:r>
    </w:p>
    <w:bookmarkEnd w:id="0"/>
    <w:p>
      <w:pPr>
        <w:pStyle w:val="21"/>
        <w:spacing w:line="600" w:lineRule="exact"/>
        <w:ind w:firstLine="640" w:firstLineChars="200"/>
        <w:rPr>
          <w:rFonts w:hAnsi="仿宋_GB2312"/>
          <w:sz w:val="32"/>
          <w:szCs w:val="32"/>
        </w:rPr>
      </w:pPr>
      <w:r>
        <w:rPr>
          <w:rFonts w:hint="eastAsia" w:hAnsi="仿宋_GB2312"/>
          <w:sz w:val="32"/>
          <w:szCs w:val="32"/>
        </w:rPr>
        <w:t>（一）通航建筑物简介</w:t>
      </w:r>
    </w:p>
    <w:p>
      <w:pPr>
        <w:spacing w:line="600" w:lineRule="exact"/>
        <w:ind w:firstLine="640" w:firstLineChars="200"/>
        <w:rPr>
          <w:rFonts w:ascii="仿宋_GB2312" w:hAnsi="仿宋_GB2312" w:eastAsia="仿宋_GB2312" w:cs="仿宋_GB2312"/>
          <w:kern w:val="0"/>
          <w:sz w:val="32"/>
          <w:szCs w:val="32"/>
        </w:rPr>
      </w:pPr>
      <w:r>
        <w:rPr>
          <w:rFonts w:hint="eastAsia" w:cs="仿宋_GB2312" w:asciiTheme="minorEastAsia" w:hAnsiTheme="minorEastAsia"/>
          <w:color w:val="000000"/>
          <w:kern w:val="0"/>
          <w:sz w:val="32"/>
          <w:szCs w:val="32"/>
        </w:rPr>
        <w:t>濛浬</w:t>
      </w:r>
      <w:r>
        <w:rPr>
          <w:rFonts w:hint="eastAsia" w:ascii="仿宋_GB2312" w:hAnsi="仿宋_GB2312" w:eastAsia="仿宋_GB2312" w:cs="仿宋_GB2312"/>
          <w:color w:val="000000"/>
          <w:kern w:val="0"/>
          <w:sz w:val="32"/>
          <w:szCs w:val="32"/>
        </w:rPr>
        <w:t>枢纽地处北江中上游的南水河口至马经寮河段，坝址位于乌石镇韶关发电厂上游约1.5km。上距韶关市约39km，距孟洲坝枢纽约26km，下距白石窑枢</w:t>
      </w:r>
      <w:r>
        <w:rPr>
          <w:rFonts w:hint="eastAsia" w:ascii="仿宋_GB2312" w:hAnsi="仿宋_GB2312" w:eastAsia="仿宋_GB2312" w:cs="仿宋_GB2312"/>
          <w:kern w:val="0"/>
          <w:sz w:val="32"/>
          <w:szCs w:val="32"/>
        </w:rPr>
        <w:t>纽约39km，</w:t>
      </w:r>
      <w:r>
        <w:rPr>
          <w:rFonts w:hint="eastAsia" w:ascii="仿宋_GB2312" w:hAnsi="仿宋_GB2312" w:eastAsia="仿宋_GB2312" w:cs="仿宋_GB2312"/>
          <w:color w:val="000000"/>
          <w:kern w:val="0"/>
          <w:sz w:val="32"/>
          <w:szCs w:val="32"/>
        </w:rPr>
        <w:t>是北江干流韶关以下的第二个梯级。</w:t>
      </w:r>
      <w:r>
        <w:rPr>
          <w:rFonts w:hint="eastAsia" w:cs="仿宋_GB2312" w:asciiTheme="minorEastAsia" w:hAnsiTheme="minorEastAsia"/>
          <w:color w:val="000000"/>
          <w:kern w:val="0"/>
          <w:sz w:val="32"/>
          <w:szCs w:val="32"/>
        </w:rPr>
        <w:t>濛浬</w:t>
      </w:r>
      <w:r>
        <w:rPr>
          <w:rFonts w:hint="eastAsia" w:ascii="仿宋_GB2312" w:hAnsi="仿宋_GB2312" w:eastAsia="仿宋_GB2312" w:cs="仿宋_GB2312"/>
          <w:color w:val="000000"/>
          <w:kern w:val="0"/>
          <w:sz w:val="32"/>
          <w:szCs w:val="32"/>
        </w:rPr>
        <w:t>枢纽二线船闸布置在已建的一线船闸右侧，按照通航1000吨</w:t>
      </w:r>
      <w:r>
        <w:rPr>
          <w:rFonts w:hint="eastAsia" w:ascii="仿宋_GB2312" w:hAnsi="仿宋_GB2312" w:eastAsia="仿宋_GB2312" w:cs="仿宋_GB2312"/>
          <w:kern w:val="0"/>
          <w:sz w:val="32"/>
          <w:szCs w:val="32"/>
        </w:rPr>
        <w:t>级内河船舶标准设计。</w:t>
      </w:r>
      <w:r>
        <w:rPr>
          <w:rFonts w:hint="eastAsia" w:cs="仿宋_GB2312" w:asciiTheme="minorEastAsia" w:hAnsiTheme="minorEastAsia"/>
          <w:kern w:val="0"/>
          <w:sz w:val="32"/>
          <w:szCs w:val="32"/>
        </w:rPr>
        <w:t>濛浬</w:t>
      </w:r>
      <w:r>
        <w:rPr>
          <w:rFonts w:hint="eastAsia" w:ascii="仿宋_GB2312" w:hAnsi="仿宋_GB2312" w:eastAsia="仿宋_GB2312" w:cs="仿宋_GB2312"/>
          <w:kern w:val="0"/>
          <w:sz w:val="32"/>
          <w:szCs w:val="32"/>
        </w:rPr>
        <w:t>枢纽二线船闸试运行工作由广东省韶关航道事务中心负责。</w:t>
      </w:r>
    </w:p>
    <w:p>
      <w:pPr>
        <w:pStyle w:val="21"/>
        <w:spacing w:line="600" w:lineRule="exact"/>
        <w:ind w:firstLine="640" w:firstLineChars="200"/>
        <w:rPr>
          <w:rFonts w:hAnsi="仿宋_GB2312"/>
          <w:sz w:val="32"/>
          <w:szCs w:val="32"/>
        </w:rPr>
      </w:pPr>
      <w:r>
        <w:rPr>
          <w:rFonts w:hint="eastAsia" w:hAnsi="仿宋_GB2312"/>
          <w:sz w:val="32"/>
          <w:szCs w:val="32"/>
        </w:rPr>
        <w:t>（二）船闸概况</w:t>
      </w:r>
    </w:p>
    <w:p>
      <w:pPr>
        <w:spacing w:line="600" w:lineRule="exact"/>
        <w:ind w:firstLine="640" w:firstLineChars="200"/>
        <w:rPr>
          <w:rFonts w:ascii="仿宋_GB2312" w:hAnsi="仿宋_GB2312" w:eastAsia="仿宋_GB2312" w:cs="仿宋_GB2312"/>
          <w:bCs/>
          <w:sz w:val="32"/>
          <w:szCs w:val="32"/>
        </w:rPr>
      </w:pPr>
      <w:r>
        <w:rPr>
          <w:rFonts w:hint="eastAsia" w:cs="仿宋_GB2312" w:asciiTheme="minorEastAsia" w:hAnsiTheme="minorEastAsia"/>
          <w:color w:val="000000"/>
          <w:kern w:val="0"/>
          <w:sz w:val="32"/>
          <w:szCs w:val="32"/>
        </w:rPr>
        <w:t>濛浬</w:t>
      </w:r>
      <w:r>
        <w:rPr>
          <w:rFonts w:hint="eastAsia" w:ascii="仿宋_GB2312" w:hAnsi="仿宋_GB2312" w:eastAsia="仿宋_GB2312" w:cs="仿宋_GB2312"/>
          <w:bCs/>
          <w:sz w:val="32"/>
          <w:szCs w:val="32"/>
        </w:rPr>
        <w:t>枢纽二线船闸按单线Ⅲ级设计，设计通航1000吨船舶。船闸有效尺度为：220×23×4.5米（长×宽×门槛水深），设计代表船型为1000吨级内河干货船（67.5m×10.8m×2.0-2.2m，总长×型宽×设计吃水）和1000吨级多用途集装箱船（49.9m×12.8m×2.2m，总长×型宽×设计吃水）。</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船闸上游设计最高通航水位46.01m（国家85高程，下同），下游设计最高通航水位45.71m；上游设计最低通航水位41.32m，下游设计最低通航水位36.82m。</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二、试运行方案</w:t>
      </w:r>
    </w:p>
    <w:p>
      <w:pPr>
        <w:pStyle w:val="21"/>
        <w:spacing w:line="600" w:lineRule="exact"/>
        <w:ind w:firstLine="640" w:firstLineChars="200"/>
        <w:rPr>
          <w:rFonts w:hAnsi="仿宋_GB2312"/>
          <w:sz w:val="32"/>
          <w:szCs w:val="32"/>
        </w:rPr>
      </w:pPr>
      <w:r>
        <w:rPr>
          <w:rFonts w:hint="eastAsia" w:hAnsi="仿宋_GB2312"/>
          <w:sz w:val="32"/>
          <w:szCs w:val="32"/>
        </w:rPr>
        <w:t>（一）试运行时间</w:t>
      </w:r>
    </w:p>
    <w:p>
      <w:pPr>
        <w:spacing w:line="60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船闸试运行期自</w:t>
      </w:r>
      <w:r>
        <w:rPr>
          <w:rFonts w:hint="eastAsia" w:ascii="仿宋_GB2312" w:hAnsi="仿宋_GB2312" w:eastAsia="仿宋_GB2312" w:cs="仿宋_GB2312"/>
          <w:bCs/>
          <w:sz w:val="32"/>
          <w:szCs w:val="32"/>
        </w:rPr>
        <w:t>2019年10月31日起至船闸正式运行止。船闸年度例行停航检修不超过25天，具体停航时间见当年航道通告。</w:t>
      </w:r>
    </w:p>
    <w:p>
      <w:pPr>
        <w:pStyle w:val="21"/>
        <w:spacing w:line="600" w:lineRule="exact"/>
        <w:ind w:firstLine="640" w:firstLineChars="200"/>
        <w:rPr>
          <w:rFonts w:hAnsi="仿宋_GB2312"/>
          <w:sz w:val="32"/>
          <w:szCs w:val="32"/>
        </w:rPr>
      </w:pPr>
      <w:r>
        <w:rPr>
          <w:rFonts w:hint="eastAsia" w:hAnsi="仿宋_GB2312"/>
          <w:sz w:val="32"/>
          <w:szCs w:val="32"/>
        </w:rPr>
        <w:t>（二）日运行时间</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船闸日运行时间12个小时（7∶00至19∶00），船舶每满一闸过一次，未满一闸，船闸待闸时间最长不超过3个小时，待闸时间从第一艘船舶到船闸登记完成后起至船舶接到船闸集控室调度指令止所经历的时间。</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三、试运行原则</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w:t>
      </w:r>
      <w:r>
        <w:rPr>
          <w:rFonts w:ascii="仿宋_GB2312" w:hAnsi="仿宋_GB2312" w:eastAsia="仿宋_GB2312" w:cs="仿宋_GB2312"/>
          <w:bCs/>
          <w:sz w:val="32"/>
          <w:szCs w:val="32"/>
        </w:rPr>
        <w:t>“安全性原则”：船闸联合调度必须以安全通航及设备安全运行为前提</w:t>
      </w:r>
      <w:r>
        <w:rPr>
          <w:rFonts w:hint="eastAsia" w:ascii="仿宋_GB2312" w:hAnsi="仿宋_GB2312" w:eastAsia="仿宋_GB2312" w:cs="仿宋_GB2312"/>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ascii="仿宋_GB2312" w:hAnsi="仿宋_GB2312" w:eastAsia="仿宋_GB2312" w:cs="仿宋_GB2312"/>
          <w:bCs/>
          <w:sz w:val="32"/>
          <w:szCs w:val="32"/>
        </w:rPr>
        <w:t>“高效原则”：尽量减少船舶待闸时间，按船闸和船舶尺寸，充分利用闸室面积，优化船舶排档编组集泊，提高待闸船舶过闸效率，提升船闸服务水平</w:t>
      </w:r>
      <w:r>
        <w:rPr>
          <w:rFonts w:hint="eastAsia" w:ascii="仿宋_GB2312" w:hAnsi="仿宋_GB2312" w:eastAsia="仿宋_GB2312" w:cs="仿宋_GB2312"/>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w:t>
      </w:r>
      <w:r>
        <w:rPr>
          <w:rFonts w:ascii="仿宋_GB2312" w:hAnsi="仿宋_GB2312" w:eastAsia="仿宋_GB2312" w:cs="仿宋_GB2312"/>
          <w:bCs/>
          <w:sz w:val="32"/>
          <w:szCs w:val="32"/>
        </w:rPr>
        <w:t>“环保原则”：船闸正常运行的情况下，应满闸调度，达到节省用水，降低能耗</w:t>
      </w:r>
      <w:r>
        <w:rPr>
          <w:rFonts w:hint="eastAsia" w:ascii="仿宋_GB2312" w:hAnsi="仿宋_GB2312" w:eastAsia="仿宋_GB2312" w:cs="仿宋_GB2312"/>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ascii="仿宋_GB2312" w:hAnsi="仿宋_GB2312" w:eastAsia="仿宋_GB2312" w:cs="仿宋_GB2312"/>
          <w:bCs/>
          <w:sz w:val="32"/>
          <w:szCs w:val="32"/>
        </w:rPr>
        <w:t>“合理原则”：按照待闸船舶报到的先后顺序、船舶情况（排号、吃水、尺寸）和船闸运行情况，合理分配过闸</w:t>
      </w:r>
      <w:r>
        <w:rPr>
          <w:rFonts w:hint="eastAsia" w:ascii="仿宋_GB2312" w:hAnsi="仿宋_GB2312" w:eastAsia="仿宋_GB2312" w:cs="仿宋_GB2312"/>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（五）重点船舶优先安排顺序如下：</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1.特殊任务的船舶，包括军事运输、抢险救灾等船舶；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2.航道、海事、渔政等部门船舶及其他执行公务的船舶；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3.使用LNG等清洁能源的运输船舶优先过闸，安排专闸通过；</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4.客运船舶及重点急运物资的船舶；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5.载运鲜活易腐货物的船舶；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6.载运易燃、易爆危险物品的船舶安排专闸通过，不得与客船在同一闸室通过；</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7.省级交通运输主管部门确定的其他优先过闸的船舶。</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（六）有下列情形之一的，禁止船舶过闸：</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1.船体受损、设备故障等影响船闸运行安全的；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2.船舶尺度不符合船闸运行标准的；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3.禁止船舶过闸的其他情形。</w:t>
      </w:r>
    </w:p>
    <w:p>
      <w:pPr>
        <w:spacing w:line="60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四、试运行管理</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（一）船舶过闸必须服从现场调度指挥。</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（二）船舶必须严格遵守各项过闸管理规定,有序过闸。</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（三）过闸船舶不得损坏船闸及航道设施,因船舶各种原因造成船闸设施损坏的,按相关法规处理。</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（四）遇有下列情形之一者，停止开放船闸:</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1.因防汛、泄洪、抗旱等情况，经市级以上人民政府批准停航的;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2.五级以上大风，或能见度在30m以内的大雾(船闸有特殊要求的除外);</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3.特大暴雨;洪水位超过设计最高通航水位，或水级差大于设计允许范围的；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4.收到强烈地震预报，可能危及建筑物安全的;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5.船闸发生重大事故，危及通航安全的；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6.因船闸年度例行停航检修需要停航的；</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7.因特殊情况须临时停航的。</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五、其它</w:t>
      </w:r>
    </w:p>
    <w:p>
      <w:pPr>
        <w:spacing w:line="60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本运行方案自</w:t>
      </w:r>
      <w:r>
        <w:rPr>
          <w:rFonts w:hint="eastAsia" w:ascii="仿宋_GB2312" w:hAnsi="仿宋_GB2312" w:eastAsia="仿宋_GB2312" w:cs="仿宋_GB2312"/>
          <w:bCs/>
          <w:sz w:val="32"/>
          <w:szCs w:val="32"/>
        </w:rPr>
        <w:t>公布</w:t>
      </w:r>
      <w:r>
        <w:rPr>
          <w:rFonts w:ascii="仿宋_GB2312" w:hAnsi="仿宋_GB2312" w:eastAsia="仿宋_GB2312" w:cs="仿宋_GB2312"/>
          <w:bCs/>
          <w:sz w:val="32"/>
          <w:szCs w:val="32"/>
        </w:rPr>
        <w:t>之日起</w:t>
      </w:r>
      <w:r>
        <w:rPr>
          <w:rFonts w:hint="eastAsia" w:ascii="仿宋_GB2312" w:hAnsi="仿宋_GB2312" w:eastAsia="仿宋_GB2312" w:cs="仿宋_GB2312"/>
          <w:bCs/>
          <w:sz w:val="32"/>
          <w:szCs w:val="32"/>
        </w:rPr>
        <w:t>施行</w:t>
      </w:r>
      <w:r>
        <w:rPr>
          <w:rFonts w:ascii="仿宋_GB2312" w:hAnsi="仿宋_GB2312" w:eastAsia="仿宋_GB2312" w:cs="仿宋_GB2312"/>
          <w:bCs/>
          <w:sz w:val="32"/>
          <w:szCs w:val="32"/>
        </w:rPr>
        <w:t>。</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运行单位：</w:t>
      </w:r>
      <w:r>
        <w:rPr>
          <w:rFonts w:hint="eastAsia" w:cs="仿宋_GB2312" w:asciiTheme="minorEastAsia" w:hAnsiTheme="minorEastAsia"/>
          <w:bCs/>
          <w:sz w:val="32"/>
          <w:szCs w:val="32"/>
        </w:rPr>
        <w:t>濛浬</w:t>
      </w:r>
      <w:r>
        <w:rPr>
          <w:rFonts w:hint="eastAsia" w:ascii="仿宋_GB2312" w:hAnsi="仿宋_GB2312" w:eastAsia="仿宋_GB2312" w:cs="仿宋_GB2312"/>
          <w:bCs/>
          <w:sz w:val="32"/>
          <w:szCs w:val="32"/>
        </w:rPr>
        <w:t>枢纽二线船闸管理站</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r>
        <w:rPr>
          <w:rFonts w:ascii="仿宋_GB2312" w:hAnsi="仿宋_GB2312" w:eastAsia="仿宋_GB2312" w:cs="仿宋_GB2312"/>
          <w:bCs/>
          <w:sz w:val="32"/>
          <w:szCs w:val="32"/>
        </w:rPr>
        <w:t>0751-</w:t>
      </w:r>
      <w:r>
        <w:rPr>
          <w:rFonts w:hint="eastAsia" w:ascii="仿宋_GB2312" w:hAnsi="仿宋_GB2312" w:eastAsia="仿宋_GB2312" w:cs="仿宋_GB2312"/>
          <w:bCs/>
          <w:sz w:val="32"/>
          <w:szCs w:val="32"/>
        </w:rPr>
        <w:t>6635616、</w:t>
      </w:r>
      <w:r>
        <w:rPr>
          <w:rFonts w:ascii="仿宋_GB2312" w:hAnsi="仿宋_GB2312" w:eastAsia="仿宋_GB2312" w:cs="仿宋_GB2312"/>
          <w:bCs/>
          <w:sz w:val="32"/>
          <w:szCs w:val="32"/>
        </w:rPr>
        <w:t>0751-</w:t>
      </w:r>
      <w:r>
        <w:rPr>
          <w:rFonts w:hint="eastAsia" w:ascii="仿宋_GB2312" w:hAnsi="仿宋_GB2312" w:eastAsia="仿宋_GB2312" w:cs="仿宋_GB2312"/>
          <w:bCs/>
          <w:sz w:val="32"/>
          <w:szCs w:val="32"/>
        </w:rPr>
        <w:t>6970665</w:t>
      </w:r>
    </w:p>
    <w:p>
      <w:pPr>
        <w:spacing w:line="6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仿宋_GB2312" w:hAnsi="仿宋_GB2312" w:eastAsia="仿宋_GB2312" w:cs="仿宋_GB2312"/>
          <w:bCs/>
          <w:sz w:val="32"/>
          <w:szCs w:val="32"/>
        </w:rPr>
      </w:pPr>
    </w:p>
    <w:p>
      <w:pPr>
        <w:spacing w:line="600" w:lineRule="exact"/>
        <w:ind w:firstLine="640" w:firstLineChars="200"/>
        <w:rPr>
          <w:rFonts w:ascii="仿宋_GB2312" w:hAnsi="仿宋_GB2312" w:eastAsia="仿宋_GB2312" w:cs="仿宋_GB2312"/>
          <w:bCs/>
          <w:sz w:val="32"/>
          <w:szCs w:val="32"/>
        </w:rPr>
      </w:pPr>
    </w:p>
    <w:p>
      <w:pPr>
        <w:spacing w:line="600" w:lineRule="exact"/>
        <w:ind w:firstLine="4800" w:firstLineChars="1500"/>
        <w:rPr>
          <w:rFonts w:ascii="仿宋_GB2312" w:hAnsi="仿宋_GB2312" w:eastAsia="仿宋_GB2312" w:cs="仿宋_GB2312"/>
          <w:bCs/>
          <w:sz w:val="32"/>
          <w:szCs w:val="32"/>
        </w:rPr>
      </w:pPr>
      <w:r>
        <w:rPr>
          <w:rFonts w:ascii="仿宋_GB2312" w:hAnsi="仿宋_GB2312" w:eastAsia="仿宋_GB2312" w:cs="仿宋_GB2312"/>
          <w:bCs/>
          <w:sz w:val="32"/>
          <w:szCs w:val="32"/>
        </w:rPr>
        <w:t>2019年</w:t>
      </w:r>
      <w:r>
        <w:rPr>
          <w:rFonts w:hint="eastAsia" w:ascii="仿宋_GB2312" w:hAnsi="仿宋_GB2312" w:eastAsia="仿宋_GB2312" w:cs="仿宋_GB2312"/>
          <w:bCs/>
          <w:sz w:val="32"/>
          <w:szCs w:val="32"/>
        </w:rPr>
        <w:t>10</w:t>
      </w:r>
      <w:r>
        <w:rPr>
          <w:rFonts w:ascii="仿宋_GB2312" w:hAnsi="仿宋_GB2312" w:eastAsia="仿宋_GB2312" w:cs="仿宋_GB2312"/>
          <w:bCs/>
          <w:sz w:val="32"/>
          <w:szCs w:val="32"/>
        </w:rPr>
        <w:t>月</w:t>
      </w:r>
      <w:r>
        <w:rPr>
          <w:rFonts w:hint="eastAsia" w:ascii="仿宋_GB2312" w:hAnsi="仿宋_GB2312" w:eastAsia="仿宋_GB2312" w:cs="仿宋_GB2312"/>
          <w:bCs/>
          <w:sz w:val="32"/>
          <w:szCs w:val="32"/>
        </w:rPr>
        <w:t>23</w:t>
      </w:r>
      <w:r>
        <w:rPr>
          <w:rFonts w:ascii="仿宋_GB2312" w:hAnsi="仿宋_GB2312" w:eastAsia="仿宋_GB2312" w:cs="仿宋_GB2312"/>
          <w:bCs/>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cs="Times New Roman"/>
        <w:b w:val="0"/>
        <w:i w:val="0"/>
        <w:sz w:val="21"/>
        <w:szCs w:val="21"/>
      </w:rPr>
    </w:lvl>
    <w:lvl w:ilvl="1" w:tentative="0">
      <w:start w:val="1"/>
      <w:numFmt w:val="decimal"/>
      <w:pStyle w:val="31"/>
      <w:suff w:val="nothing"/>
      <w:lvlText w:val="%1.%2　"/>
      <w:lvlJc w:val="left"/>
      <w:pPr>
        <w:ind w:left="142" w:firstLine="0"/>
      </w:pPr>
      <w:rPr>
        <w:rFonts w:hint="eastAsia" w:ascii="黑体" w:hAnsi="Times New Roman" w:eastAsia="黑体" w:cs="Times New Roman"/>
        <w:b/>
        <w:bCs w:val="0"/>
        <w:i w:val="0"/>
        <w:iCs w:val="0"/>
        <w:caps w:val="0"/>
        <w:strike w:val="0"/>
        <w:dstrike w:val="0"/>
        <w:vanish w:val="0"/>
        <w:spacing w:val="0"/>
        <w:kern w:val="0"/>
        <w:position w:val="0"/>
        <w:sz w:val="21"/>
        <w:szCs w:val="21"/>
        <w:u w:val="none"/>
        <w:vertAlign w:val="baseline"/>
      </w:rPr>
    </w:lvl>
    <w:lvl w:ilvl="2" w:tentative="0">
      <w:start w:val="1"/>
      <w:numFmt w:val="decimal"/>
      <w:pStyle w:val="30"/>
      <w:suff w:val="nothing"/>
      <w:lvlText w:val="%1.%2.%3　"/>
      <w:lvlJc w:val="left"/>
      <w:pPr>
        <w:ind w:left="284" w:firstLine="0"/>
      </w:pPr>
      <w:rPr>
        <w:rFonts w:hint="eastAsia" w:ascii="黑体" w:hAnsi="Times New Roman" w:eastAsia="黑体" w:cs="Times New Roman"/>
        <w:b/>
        <w:i w:val="0"/>
        <w:sz w:val="21"/>
        <w:szCs w:val="21"/>
      </w:rPr>
    </w:lvl>
    <w:lvl w:ilvl="3" w:tentative="0">
      <w:start w:val="1"/>
      <w:numFmt w:val="decimal"/>
      <w:suff w:val="nothing"/>
      <w:lvlText w:val="%1.%2.%3.%4　"/>
      <w:lvlJc w:val="left"/>
      <w:pPr>
        <w:ind w:left="993" w:firstLine="0"/>
      </w:pPr>
      <w:rPr>
        <w:rFonts w:hint="eastAsia" w:ascii="黑体" w:hAnsi="Times New Roman" w:eastAsia="黑体" w:cs="Times New Roman"/>
        <w:b w:val="0"/>
        <w:i w:val="0"/>
        <w:sz w:val="21"/>
        <w:szCs w:val="21"/>
      </w:rPr>
    </w:lvl>
    <w:lvl w:ilvl="4" w:tentative="0">
      <w:start w:val="1"/>
      <w:numFmt w:val="decimal"/>
      <w:suff w:val="nothing"/>
      <w:lvlText w:val="%1.%2.%3.%4.%5　"/>
      <w:lvlJc w:val="left"/>
      <w:pPr>
        <w:ind w:left="6236"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6236"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6236" w:firstLine="0"/>
      </w:pPr>
      <w:rPr>
        <w:rFonts w:hint="eastAsia" w:ascii="黑体" w:hAnsi="Times New Roman" w:eastAsia="黑体" w:cs="Times New Roman"/>
        <w:b w:val="0"/>
        <w:i w:val="0"/>
        <w:sz w:val="21"/>
      </w:rPr>
    </w:lvl>
    <w:lvl w:ilvl="7" w:tentative="0">
      <w:start w:val="1"/>
      <w:numFmt w:val="decimal"/>
      <w:lvlText w:val="%1.%2.%3.%4.%5.%6.%7.%8"/>
      <w:lvlJc w:val="left"/>
      <w:pPr>
        <w:tabs>
          <w:tab w:val="left" w:pos="10587"/>
        </w:tabs>
        <w:ind w:left="10205" w:hanging="1418"/>
      </w:pPr>
      <w:rPr>
        <w:rFonts w:hint="eastAsia" w:cs="Times New Roman"/>
      </w:rPr>
    </w:lvl>
    <w:lvl w:ilvl="8" w:tentative="0">
      <w:start w:val="1"/>
      <w:numFmt w:val="decimal"/>
      <w:lvlText w:val="%1.%2.%3.%4.%5.%6.%7.%8.%9"/>
      <w:lvlJc w:val="left"/>
      <w:pPr>
        <w:tabs>
          <w:tab w:val="left" w:pos="11013"/>
        </w:tabs>
        <w:ind w:left="10913"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C3"/>
    <w:rsid w:val="00001861"/>
    <w:rsid w:val="00010BF7"/>
    <w:rsid w:val="000122D3"/>
    <w:rsid w:val="00023D4B"/>
    <w:rsid w:val="00030CC8"/>
    <w:rsid w:val="000328F3"/>
    <w:rsid w:val="00052EC8"/>
    <w:rsid w:val="00053503"/>
    <w:rsid w:val="00071116"/>
    <w:rsid w:val="00071400"/>
    <w:rsid w:val="00075FD9"/>
    <w:rsid w:val="00090439"/>
    <w:rsid w:val="0009094B"/>
    <w:rsid w:val="00097F32"/>
    <w:rsid w:val="000A0DC6"/>
    <w:rsid w:val="000C78FE"/>
    <w:rsid w:val="000F0F0A"/>
    <w:rsid w:val="000F29B9"/>
    <w:rsid w:val="0011004E"/>
    <w:rsid w:val="00126691"/>
    <w:rsid w:val="001269BC"/>
    <w:rsid w:val="00130D10"/>
    <w:rsid w:val="0013605F"/>
    <w:rsid w:val="00140EA9"/>
    <w:rsid w:val="00145362"/>
    <w:rsid w:val="00147930"/>
    <w:rsid w:val="00151883"/>
    <w:rsid w:val="00184D83"/>
    <w:rsid w:val="00190E56"/>
    <w:rsid w:val="001B3259"/>
    <w:rsid w:val="001D0737"/>
    <w:rsid w:val="001D455C"/>
    <w:rsid w:val="001E1160"/>
    <w:rsid w:val="001E2755"/>
    <w:rsid w:val="002040F9"/>
    <w:rsid w:val="00205574"/>
    <w:rsid w:val="00206406"/>
    <w:rsid w:val="0020718A"/>
    <w:rsid w:val="00212EC4"/>
    <w:rsid w:val="00215490"/>
    <w:rsid w:val="00223052"/>
    <w:rsid w:val="00233EA8"/>
    <w:rsid w:val="00237F07"/>
    <w:rsid w:val="00240F94"/>
    <w:rsid w:val="00242E5C"/>
    <w:rsid w:val="00247D0F"/>
    <w:rsid w:val="00251048"/>
    <w:rsid w:val="0026435E"/>
    <w:rsid w:val="00267232"/>
    <w:rsid w:val="002717F9"/>
    <w:rsid w:val="0028016B"/>
    <w:rsid w:val="002840E5"/>
    <w:rsid w:val="00292BAC"/>
    <w:rsid w:val="00296447"/>
    <w:rsid w:val="00297D5F"/>
    <w:rsid w:val="002A59BA"/>
    <w:rsid w:val="002A6990"/>
    <w:rsid w:val="002A7574"/>
    <w:rsid w:val="002D5896"/>
    <w:rsid w:val="002D7994"/>
    <w:rsid w:val="002D7BE5"/>
    <w:rsid w:val="003224C6"/>
    <w:rsid w:val="00324DE4"/>
    <w:rsid w:val="003360E8"/>
    <w:rsid w:val="00344D98"/>
    <w:rsid w:val="003528E2"/>
    <w:rsid w:val="00371B84"/>
    <w:rsid w:val="00385698"/>
    <w:rsid w:val="003A06B2"/>
    <w:rsid w:val="003A23E1"/>
    <w:rsid w:val="003B139B"/>
    <w:rsid w:val="003B68F6"/>
    <w:rsid w:val="003C573E"/>
    <w:rsid w:val="003D4BC9"/>
    <w:rsid w:val="003F2EA1"/>
    <w:rsid w:val="003F6455"/>
    <w:rsid w:val="003F6E18"/>
    <w:rsid w:val="00400ABB"/>
    <w:rsid w:val="0040180C"/>
    <w:rsid w:val="004032A8"/>
    <w:rsid w:val="00405203"/>
    <w:rsid w:val="00411B32"/>
    <w:rsid w:val="00414623"/>
    <w:rsid w:val="00416827"/>
    <w:rsid w:val="00430732"/>
    <w:rsid w:val="004350B9"/>
    <w:rsid w:val="00445678"/>
    <w:rsid w:val="00457CBA"/>
    <w:rsid w:val="00463F85"/>
    <w:rsid w:val="0046663C"/>
    <w:rsid w:val="00467BF0"/>
    <w:rsid w:val="004759C8"/>
    <w:rsid w:val="00491E65"/>
    <w:rsid w:val="004921A9"/>
    <w:rsid w:val="004A3AFB"/>
    <w:rsid w:val="004A520F"/>
    <w:rsid w:val="004B03A9"/>
    <w:rsid w:val="004C47ED"/>
    <w:rsid w:val="004D5EFA"/>
    <w:rsid w:val="004E430A"/>
    <w:rsid w:val="004E6903"/>
    <w:rsid w:val="004E6B64"/>
    <w:rsid w:val="004F7964"/>
    <w:rsid w:val="005174A8"/>
    <w:rsid w:val="005222BD"/>
    <w:rsid w:val="00554CDE"/>
    <w:rsid w:val="00565538"/>
    <w:rsid w:val="00567BED"/>
    <w:rsid w:val="0057558D"/>
    <w:rsid w:val="00576F34"/>
    <w:rsid w:val="0057705A"/>
    <w:rsid w:val="005B250D"/>
    <w:rsid w:val="005C5C98"/>
    <w:rsid w:val="005D22F2"/>
    <w:rsid w:val="005E363C"/>
    <w:rsid w:val="005F6C0D"/>
    <w:rsid w:val="00610C9A"/>
    <w:rsid w:val="00612BA3"/>
    <w:rsid w:val="0061481F"/>
    <w:rsid w:val="00647B6E"/>
    <w:rsid w:val="006571C0"/>
    <w:rsid w:val="00662D19"/>
    <w:rsid w:val="00670335"/>
    <w:rsid w:val="006748CA"/>
    <w:rsid w:val="00680748"/>
    <w:rsid w:val="00683E73"/>
    <w:rsid w:val="006A269A"/>
    <w:rsid w:val="006A6840"/>
    <w:rsid w:val="006B1F82"/>
    <w:rsid w:val="006C3C82"/>
    <w:rsid w:val="006C40EA"/>
    <w:rsid w:val="006C44E8"/>
    <w:rsid w:val="006D1C07"/>
    <w:rsid w:val="006D2F88"/>
    <w:rsid w:val="006D4795"/>
    <w:rsid w:val="006E3FC9"/>
    <w:rsid w:val="006E7B1C"/>
    <w:rsid w:val="006F724F"/>
    <w:rsid w:val="00710B46"/>
    <w:rsid w:val="00713DB8"/>
    <w:rsid w:val="00727032"/>
    <w:rsid w:val="0075058F"/>
    <w:rsid w:val="00752FC3"/>
    <w:rsid w:val="007562DE"/>
    <w:rsid w:val="007655B0"/>
    <w:rsid w:val="00782B23"/>
    <w:rsid w:val="007878D0"/>
    <w:rsid w:val="007B19A3"/>
    <w:rsid w:val="007B5DEB"/>
    <w:rsid w:val="007E4B9B"/>
    <w:rsid w:val="007F2510"/>
    <w:rsid w:val="00804E99"/>
    <w:rsid w:val="00810957"/>
    <w:rsid w:val="00814606"/>
    <w:rsid w:val="0081548E"/>
    <w:rsid w:val="008230DA"/>
    <w:rsid w:val="00823B9D"/>
    <w:rsid w:val="0085273A"/>
    <w:rsid w:val="008542D0"/>
    <w:rsid w:val="0086360F"/>
    <w:rsid w:val="00864E39"/>
    <w:rsid w:val="00873480"/>
    <w:rsid w:val="00874CDE"/>
    <w:rsid w:val="00880EC0"/>
    <w:rsid w:val="00884DE1"/>
    <w:rsid w:val="008A5F7D"/>
    <w:rsid w:val="008B36DB"/>
    <w:rsid w:val="008B4283"/>
    <w:rsid w:val="008B525E"/>
    <w:rsid w:val="008C0A60"/>
    <w:rsid w:val="008C22CC"/>
    <w:rsid w:val="008D0760"/>
    <w:rsid w:val="008D3AFE"/>
    <w:rsid w:val="008F2EB0"/>
    <w:rsid w:val="008F793D"/>
    <w:rsid w:val="00904FB4"/>
    <w:rsid w:val="00913FFC"/>
    <w:rsid w:val="00923653"/>
    <w:rsid w:val="00927D85"/>
    <w:rsid w:val="0093132D"/>
    <w:rsid w:val="009331B2"/>
    <w:rsid w:val="009373D0"/>
    <w:rsid w:val="00945058"/>
    <w:rsid w:val="00954FBE"/>
    <w:rsid w:val="00980C27"/>
    <w:rsid w:val="00996550"/>
    <w:rsid w:val="009E7F5A"/>
    <w:rsid w:val="009F282A"/>
    <w:rsid w:val="009F5B5E"/>
    <w:rsid w:val="00A04FDE"/>
    <w:rsid w:val="00A1100C"/>
    <w:rsid w:val="00A135B3"/>
    <w:rsid w:val="00A14F3B"/>
    <w:rsid w:val="00A150D5"/>
    <w:rsid w:val="00A25B85"/>
    <w:rsid w:val="00A369F7"/>
    <w:rsid w:val="00A47969"/>
    <w:rsid w:val="00A614F4"/>
    <w:rsid w:val="00A61DAB"/>
    <w:rsid w:val="00A76114"/>
    <w:rsid w:val="00A84E11"/>
    <w:rsid w:val="00A93F68"/>
    <w:rsid w:val="00A960A2"/>
    <w:rsid w:val="00AA5E94"/>
    <w:rsid w:val="00AB60E8"/>
    <w:rsid w:val="00AD3F83"/>
    <w:rsid w:val="00AE07A5"/>
    <w:rsid w:val="00AF27C0"/>
    <w:rsid w:val="00AF3FDC"/>
    <w:rsid w:val="00AF57A8"/>
    <w:rsid w:val="00B16B8E"/>
    <w:rsid w:val="00B223FB"/>
    <w:rsid w:val="00B26EDA"/>
    <w:rsid w:val="00B278C7"/>
    <w:rsid w:val="00B320AE"/>
    <w:rsid w:val="00B4020E"/>
    <w:rsid w:val="00B509C2"/>
    <w:rsid w:val="00B51270"/>
    <w:rsid w:val="00B566D4"/>
    <w:rsid w:val="00B5767D"/>
    <w:rsid w:val="00B65E31"/>
    <w:rsid w:val="00B72E49"/>
    <w:rsid w:val="00B90E1F"/>
    <w:rsid w:val="00B925F0"/>
    <w:rsid w:val="00B93C95"/>
    <w:rsid w:val="00B9567E"/>
    <w:rsid w:val="00B96CD0"/>
    <w:rsid w:val="00B97589"/>
    <w:rsid w:val="00BB243C"/>
    <w:rsid w:val="00BB2CEB"/>
    <w:rsid w:val="00BB6124"/>
    <w:rsid w:val="00BD1049"/>
    <w:rsid w:val="00BE04CC"/>
    <w:rsid w:val="00BF3588"/>
    <w:rsid w:val="00C207B3"/>
    <w:rsid w:val="00C26538"/>
    <w:rsid w:val="00C27C96"/>
    <w:rsid w:val="00C413DF"/>
    <w:rsid w:val="00C41642"/>
    <w:rsid w:val="00C46954"/>
    <w:rsid w:val="00C47CEE"/>
    <w:rsid w:val="00C62A41"/>
    <w:rsid w:val="00C84375"/>
    <w:rsid w:val="00C911A1"/>
    <w:rsid w:val="00C94D23"/>
    <w:rsid w:val="00CA2FCE"/>
    <w:rsid w:val="00CA45C3"/>
    <w:rsid w:val="00CB4064"/>
    <w:rsid w:val="00CB7BD9"/>
    <w:rsid w:val="00CC6A5B"/>
    <w:rsid w:val="00CD3420"/>
    <w:rsid w:val="00CD57C6"/>
    <w:rsid w:val="00CE0743"/>
    <w:rsid w:val="00CE4B99"/>
    <w:rsid w:val="00D04B49"/>
    <w:rsid w:val="00D07B7B"/>
    <w:rsid w:val="00D1392B"/>
    <w:rsid w:val="00D15BFB"/>
    <w:rsid w:val="00D24AEE"/>
    <w:rsid w:val="00D31309"/>
    <w:rsid w:val="00D324E1"/>
    <w:rsid w:val="00D33C0F"/>
    <w:rsid w:val="00D43C17"/>
    <w:rsid w:val="00D44CDC"/>
    <w:rsid w:val="00D60974"/>
    <w:rsid w:val="00D64302"/>
    <w:rsid w:val="00D66C92"/>
    <w:rsid w:val="00D74266"/>
    <w:rsid w:val="00D767C1"/>
    <w:rsid w:val="00D81BA6"/>
    <w:rsid w:val="00D9681D"/>
    <w:rsid w:val="00DB189D"/>
    <w:rsid w:val="00DB7398"/>
    <w:rsid w:val="00DC44DE"/>
    <w:rsid w:val="00DE1EBF"/>
    <w:rsid w:val="00DF1988"/>
    <w:rsid w:val="00DF5638"/>
    <w:rsid w:val="00E258B5"/>
    <w:rsid w:val="00E37D11"/>
    <w:rsid w:val="00E42938"/>
    <w:rsid w:val="00E448FC"/>
    <w:rsid w:val="00E64A61"/>
    <w:rsid w:val="00E654F2"/>
    <w:rsid w:val="00E67F96"/>
    <w:rsid w:val="00E77FC1"/>
    <w:rsid w:val="00E82484"/>
    <w:rsid w:val="00E8753F"/>
    <w:rsid w:val="00EA2559"/>
    <w:rsid w:val="00EB37FB"/>
    <w:rsid w:val="00EB69CF"/>
    <w:rsid w:val="00EC29F2"/>
    <w:rsid w:val="00EC7F21"/>
    <w:rsid w:val="00EE18B4"/>
    <w:rsid w:val="00EF2C2C"/>
    <w:rsid w:val="00EF673A"/>
    <w:rsid w:val="00F13359"/>
    <w:rsid w:val="00F4381D"/>
    <w:rsid w:val="00F4529A"/>
    <w:rsid w:val="00F50486"/>
    <w:rsid w:val="00F6035B"/>
    <w:rsid w:val="00F808A5"/>
    <w:rsid w:val="00F973DE"/>
    <w:rsid w:val="00FA1FDC"/>
    <w:rsid w:val="00FA6A69"/>
    <w:rsid w:val="00FA6D40"/>
    <w:rsid w:val="00FB38E1"/>
    <w:rsid w:val="00FB5715"/>
    <w:rsid w:val="00FC0C83"/>
    <w:rsid w:val="00FC1820"/>
    <w:rsid w:val="00FD2D58"/>
    <w:rsid w:val="00FE4604"/>
    <w:rsid w:val="00FE745E"/>
    <w:rsid w:val="00FF096A"/>
    <w:rsid w:val="02424C7A"/>
    <w:rsid w:val="057E4D73"/>
    <w:rsid w:val="06562924"/>
    <w:rsid w:val="09935C63"/>
    <w:rsid w:val="0DB539DF"/>
    <w:rsid w:val="16334580"/>
    <w:rsid w:val="19B14A17"/>
    <w:rsid w:val="1DD22A0B"/>
    <w:rsid w:val="1FF001A4"/>
    <w:rsid w:val="23BE4949"/>
    <w:rsid w:val="2589513C"/>
    <w:rsid w:val="265D3FCB"/>
    <w:rsid w:val="270A5C5D"/>
    <w:rsid w:val="27405E67"/>
    <w:rsid w:val="2BC06A13"/>
    <w:rsid w:val="2F6129B9"/>
    <w:rsid w:val="2F7656D2"/>
    <w:rsid w:val="308761E9"/>
    <w:rsid w:val="31DD07E1"/>
    <w:rsid w:val="36C21603"/>
    <w:rsid w:val="3B2F3158"/>
    <w:rsid w:val="3B870832"/>
    <w:rsid w:val="3BB67F26"/>
    <w:rsid w:val="3EC12321"/>
    <w:rsid w:val="456A3672"/>
    <w:rsid w:val="4FC071FE"/>
    <w:rsid w:val="558808F8"/>
    <w:rsid w:val="571304BA"/>
    <w:rsid w:val="5744169E"/>
    <w:rsid w:val="5A7854AE"/>
    <w:rsid w:val="64AD5AF7"/>
    <w:rsid w:val="673315F9"/>
    <w:rsid w:val="6AF51BB1"/>
    <w:rsid w:val="6B1F409A"/>
    <w:rsid w:val="6BA05782"/>
    <w:rsid w:val="6CD004A8"/>
    <w:rsid w:val="6DA60FB8"/>
    <w:rsid w:val="70CD38DE"/>
    <w:rsid w:val="741C5E31"/>
    <w:rsid w:val="7BDD3573"/>
    <w:rsid w:val="7DA8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link w:val="23"/>
    <w:qFormat/>
    <w:uiPriority w:val="0"/>
    <w:pPr>
      <w:jc w:val="center"/>
    </w:pPr>
    <w:rPr>
      <w:rFonts w:ascii="Cambria" w:hAnsi="Cambria" w:eastAsia="宋体" w:cs="Times New Roman"/>
      <w:b/>
      <w:kern w:val="0"/>
      <w:sz w:val="20"/>
      <w:szCs w:val="20"/>
    </w:rPr>
  </w:style>
  <w:style w:type="paragraph" w:styleId="4">
    <w:name w:val="Document Map"/>
    <w:basedOn w:val="1"/>
    <w:link w:val="41"/>
    <w:semiHidden/>
    <w:unhideWhenUsed/>
    <w:qFormat/>
    <w:uiPriority w:val="99"/>
    <w:rPr>
      <w:rFonts w:ascii="宋体" w:eastAsia="宋体"/>
      <w:sz w:val="18"/>
      <w:szCs w:val="18"/>
    </w:rPr>
  </w:style>
  <w:style w:type="paragraph" w:styleId="5">
    <w:name w:val="Body Text"/>
    <w:basedOn w:val="1"/>
    <w:link w:val="36"/>
    <w:semiHidden/>
    <w:unhideWhenUsed/>
    <w:qFormat/>
    <w:uiPriority w:val="99"/>
    <w:pPr>
      <w:spacing w:after="120"/>
    </w:p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Plain Text"/>
    <w:basedOn w:val="1"/>
    <w:link w:val="28"/>
    <w:qFormat/>
    <w:uiPriority w:val="0"/>
    <w:rPr>
      <w:rFonts w:ascii="宋体" w:hAnsi="Courier New" w:eastAsia="宋体" w:cs="Courier New"/>
      <w:szCs w:val="21"/>
    </w:rPr>
  </w:style>
  <w:style w:type="paragraph" w:styleId="8">
    <w:name w:val="Balloon Text"/>
    <w:basedOn w:val="1"/>
    <w:link w:val="24"/>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296"/>
      </w:tabs>
      <w:spacing w:after="100" w:line="276" w:lineRule="auto"/>
      <w:jc w:val="center"/>
    </w:pPr>
    <w:rPr>
      <w:rFonts w:ascii="宋体" w:hAnsi="宋体" w:eastAsia="宋体"/>
      <w:b/>
      <w:kern w:val="0"/>
      <w:sz w:val="28"/>
      <w:szCs w:val="28"/>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Body Text First Indent"/>
    <w:basedOn w:val="5"/>
    <w:link w:val="37"/>
    <w:semiHidden/>
    <w:unhideWhenUsed/>
    <w:qFormat/>
    <w:uiPriority w:val="99"/>
    <w:pPr>
      <w:ind w:firstLine="420" w:firstLineChars="1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unhideWhenUsed/>
    <w:qFormat/>
    <w:uiPriority w:val="99"/>
    <w:rPr>
      <w:color w:val="0000FF" w:themeColor="hyperlink"/>
      <w:u w:val="singl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paragraph" w:customStyle="1" w:styleId="2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22">
    <w:name w:val="段"/>
    <w:link w:val="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2"/>
      <w:szCs w:val="22"/>
      <w:lang w:val="en-US" w:eastAsia="zh-CN" w:bidi="ar-SA"/>
    </w:rPr>
  </w:style>
  <w:style w:type="character" w:customStyle="1" w:styleId="23">
    <w:name w:val="题注 Char"/>
    <w:link w:val="3"/>
    <w:qFormat/>
    <w:locked/>
    <w:uiPriority w:val="0"/>
    <w:rPr>
      <w:rFonts w:ascii="Cambria" w:hAnsi="Cambria" w:eastAsia="宋体" w:cs="Times New Roman"/>
      <w:b/>
      <w:kern w:val="0"/>
      <w:sz w:val="20"/>
      <w:szCs w:val="20"/>
    </w:rPr>
  </w:style>
  <w:style w:type="character" w:customStyle="1" w:styleId="24">
    <w:name w:val="批注框文本 Char"/>
    <w:basedOn w:val="16"/>
    <w:link w:val="8"/>
    <w:semiHidden/>
    <w:qFormat/>
    <w:uiPriority w:val="99"/>
    <w:rPr>
      <w:sz w:val="18"/>
      <w:szCs w:val="18"/>
    </w:rPr>
  </w:style>
  <w:style w:type="character" w:customStyle="1" w:styleId="25">
    <w:name w:val="标题 1 Char"/>
    <w:basedOn w:val="16"/>
    <w:link w:val="2"/>
    <w:qFormat/>
    <w:uiPriority w:val="9"/>
    <w:rPr>
      <w:b/>
      <w:bCs/>
      <w:kern w:val="44"/>
      <w:sz w:val="44"/>
      <w:szCs w:val="44"/>
    </w:rPr>
  </w:style>
  <w:style w:type="paragraph" w:customStyle="1" w:styleId="2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styleId="27">
    <w:name w:val="List Paragraph"/>
    <w:basedOn w:val="1"/>
    <w:qFormat/>
    <w:uiPriority w:val="34"/>
    <w:pPr>
      <w:ind w:firstLine="420" w:firstLineChars="200"/>
    </w:pPr>
  </w:style>
  <w:style w:type="character" w:customStyle="1" w:styleId="28">
    <w:name w:val="纯文本 Char"/>
    <w:basedOn w:val="16"/>
    <w:link w:val="7"/>
    <w:qFormat/>
    <w:uiPriority w:val="0"/>
    <w:rPr>
      <w:rFonts w:ascii="宋体" w:hAnsi="Courier New" w:eastAsia="宋体" w:cs="Courier New"/>
      <w:szCs w:val="21"/>
    </w:rPr>
  </w:style>
  <w:style w:type="paragraph" w:customStyle="1" w:styleId="29">
    <w:name w:val="二级无"/>
    <w:basedOn w:val="30"/>
    <w:qFormat/>
    <w:uiPriority w:val="0"/>
    <w:pPr>
      <w:spacing w:beforeLines="0" w:afterLines="0"/>
      <w:ind w:left="284"/>
    </w:pPr>
    <w:rPr>
      <w:rFonts w:ascii="宋体" w:eastAsia="宋体"/>
    </w:rPr>
  </w:style>
  <w:style w:type="paragraph" w:customStyle="1" w:styleId="30">
    <w:name w:val="二级条标题"/>
    <w:basedOn w:val="31"/>
    <w:next w:val="1"/>
    <w:qFormat/>
    <w:uiPriority w:val="0"/>
    <w:pPr>
      <w:numPr>
        <w:ilvl w:val="2"/>
      </w:numPr>
      <w:spacing w:before="50" w:after="50"/>
      <w:ind w:left="709"/>
      <w:outlineLvl w:val="3"/>
    </w:pPr>
    <w:rPr>
      <w:rFonts w:hAnsi="Calibri"/>
      <w:szCs w:val="20"/>
    </w:rPr>
  </w:style>
  <w:style w:type="paragraph" w:customStyle="1" w:styleId="31">
    <w:name w:val="一级条标题"/>
    <w:next w:val="1"/>
    <w:link w:val="33"/>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2">
    <w:name w:val="List Paragraph1"/>
    <w:basedOn w:val="1"/>
    <w:qFormat/>
    <w:uiPriority w:val="99"/>
    <w:pPr>
      <w:ind w:firstLine="420" w:firstLineChars="200"/>
    </w:pPr>
    <w:rPr>
      <w:rFonts w:ascii="Times New Roman" w:hAnsi="Times New Roman" w:eastAsia="宋体" w:cs="Times New Roman"/>
      <w:szCs w:val="24"/>
    </w:rPr>
  </w:style>
  <w:style w:type="character" w:customStyle="1" w:styleId="33">
    <w:name w:val="一级条标题 Char"/>
    <w:basedOn w:val="16"/>
    <w:link w:val="31"/>
    <w:qFormat/>
    <w:uiPriority w:val="0"/>
    <w:rPr>
      <w:rFonts w:ascii="黑体" w:hAnsi="Times New Roman" w:eastAsia="黑体" w:cs="Times New Roman"/>
      <w:kern w:val="0"/>
      <w:szCs w:val="21"/>
    </w:rPr>
  </w:style>
  <w:style w:type="paragraph" w:customStyle="1" w:styleId="34">
    <w:name w:val="_Style 8"/>
    <w:basedOn w:val="1"/>
    <w:qFormat/>
    <w:uiPriority w:val="99"/>
    <w:pPr>
      <w:ind w:firstLine="420" w:firstLineChars="200"/>
    </w:pPr>
    <w:rPr>
      <w:rFonts w:ascii="Times New Roman" w:hAnsi="Times New Roman" w:eastAsia="宋体" w:cs="Times New Roman"/>
    </w:rPr>
  </w:style>
  <w:style w:type="paragraph" w:customStyle="1" w:styleId="35">
    <w:name w:val="出版正文"/>
    <w:basedOn w:val="13"/>
    <w:qFormat/>
    <w:uiPriority w:val="0"/>
    <w:pPr>
      <w:snapToGrid w:val="0"/>
      <w:spacing w:line="360" w:lineRule="auto"/>
    </w:pPr>
    <w:rPr>
      <w:rFonts w:ascii="Arial" w:hAnsi="Arial" w:eastAsia="宋体" w:cs="Times New Roman"/>
      <w:color w:val="000000"/>
      <w:sz w:val="24"/>
      <w:szCs w:val="24"/>
    </w:rPr>
  </w:style>
  <w:style w:type="character" w:customStyle="1" w:styleId="36">
    <w:name w:val="正文文本 Char"/>
    <w:basedOn w:val="16"/>
    <w:link w:val="5"/>
    <w:semiHidden/>
    <w:qFormat/>
    <w:uiPriority w:val="99"/>
  </w:style>
  <w:style w:type="character" w:customStyle="1" w:styleId="37">
    <w:name w:val="正文首行缩进 Char"/>
    <w:basedOn w:val="36"/>
    <w:link w:val="13"/>
    <w:semiHidden/>
    <w:qFormat/>
    <w:uiPriority w:val="99"/>
  </w:style>
  <w:style w:type="character" w:customStyle="1" w:styleId="38">
    <w:name w:val="段 Char"/>
    <w:link w:val="22"/>
    <w:qFormat/>
    <w:locked/>
    <w:uiPriority w:val="0"/>
    <w:rPr>
      <w:rFonts w:ascii="宋体" w:hAnsi="Times New Roman" w:eastAsia="宋体" w:cs="Times New Roman"/>
      <w:sz w:val="22"/>
    </w:rPr>
  </w:style>
  <w:style w:type="character" w:customStyle="1" w:styleId="39">
    <w:name w:val="txt14"/>
    <w:basedOn w:val="16"/>
    <w:qFormat/>
    <w:uiPriority w:val="0"/>
  </w:style>
  <w:style w:type="paragraph" w:customStyle="1" w:styleId="40">
    <w:name w:val="C2"/>
    <w:basedOn w:val="1"/>
    <w:qFormat/>
    <w:uiPriority w:val="0"/>
    <w:pPr>
      <w:tabs>
        <w:tab w:val="left" w:pos="1276"/>
      </w:tabs>
      <w:spacing w:line="360" w:lineRule="auto"/>
      <w:outlineLvl w:val="2"/>
    </w:pPr>
    <w:rPr>
      <w:rFonts w:ascii="楷体_GB2312" w:hAnsi="Calibri" w:eastAsia="楷体_GB2312"/>
      <w:b/>
      <w:kern w:val="0"/>
      <w:sz w:val="32"/>
      <w:szCs w:val="32"/>
    </w:rPr>
  </w:style>
  <w:style w:type="character" w:customStyle="1" w:styleId="41">
    <w:name w:val="文档结构图 Char"/>
    <w:basedOn w:val="16"/>
    <w:link w:val="4"/>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C85AF-E925-48D9-B3CC-BFD4A2F68442}">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1268</Characters>
  <Lines>10</Lines>
  <Paragraphs>2</Paragraphs>
  <TotalTime>165</TotalTime>
  <ScaleCrop>false</ScaleCrop>
  <LinksUpToDate>false</LinksUpToDate>
  <CharactersWithSpaces>1488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2019-06-19T03:34:00Z</dcterms:created>
  <dc:creator>simon</dc:creator>
  <cp:lastModifiedBy>曾玥嘉</cp:lastModifiedBy>
  <dcterms:modified xsi:type="dcterms:W3CDTF">2019-10-28T06:42:38Z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